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D902E" w14:textId="4F2B35DE" w:rsidR="004342AB" w:rsidRPr="009D5375" w:rsidRDefault="004342AB" w:rsidP="004342AB">
      <w:pPr>
        <w:pStyle w:val="CRCoverPage"/>
        <w:tabs>
          <w:tab w:val="right" w:pos="9639"/>
        </w:tabs>
        <w:spacing w:after="0"/>
        <w:rPr>
          <w:b/>
          <w:noProof/>
          <w:sz w:val="28"/>
        </w:rPr>
      </w:pPr>
      <w:bookmarkStart w:id="0" w:name="_Toc2086435"/>
      <w:r w:rsidRPr="009D5375">
        <w:rPr>
          <w:b/>
          <w:noProof/>
          <w:sz w:val="24"/>
        </w:rPr>
        <w:t>3GPP TSG-</w:t>
      </w:r>
      <w:fldSimple w:instr=" DOCPROPERTY  TSG/WGRef  \* MERGEFORMAT ">
        <w:r w:rsidRPr="009D5375">
          <w:rPr>
            <w:b/>
            <w:noProof/>
            <w:sz w:val="24"/>
          </w:rPr>
          <w:t>RAN4</w:t>
        </w:r>
      </w:fldSimple>
      <w:r w:rsidRPr="009D5375">
        <w:rPr>
          <w:b/>
          <w:noProof/>
          <w:sz w:val="24"/>
        </w:rPr>
        <w:t xml:space="preserve"> Meeting #</w:t>
      </w:r>
      <w:fldSimple w:instr=" DOCPROPERTY  MtgSeq  \* MERGEFORMAT ">
        <w:r w:rsidRPr="009D5375">
          <w:rPr>
            <w:b/>
            <w:noProof/>
            <w:sz w:val="24"/>
          </w:rPr>
          <w:t>116</w:t>
        </w:r>
      </w:fldSimple>
      <w:r w:rsidRPr="009D5375">
        <w:rPr>
          <w:b/>
          <w:noProof/>
          <w:sz w:val="28"/>
        </w:rPr>
        <w:tab/>
      </w:r>
      <w:fldSimple w:instr=" DOCPROPERTY  Tdoc#  \* MERGEFORMAT ">
        <w:r w:rsidRPr="009D5375">
          <w:rPr>
            <w:b/>
            <w:noProof/>
            <w:sz w:val="28"/>
          </w:rPr>
          <w:t>R4-25</w:t>
        </w:r>
        <w:r w:rsidR="009D5375" w:rsidRPr="009D5375">
          <w:rPr>
            <w:b/>
            <w:noProof/>
            <w:sz w:val="28"/>
          </w:rPr>
          <w:t>10897</w:t>
        </w:r>
      </w:fldSimple>
    </w:p>
    <w:p w14:paraId="7D6105C8" w14:textId="5AEEC99B" w:rsidR="004342AB" w:rsidRPr="005C111A" w:rsidRDefault="004342AB" w:rsidP="004342AB">
      <w:pPr>
        <w:spacing w:after="120"/>
        <w:ind w:left="1985" w:hanging="1985"/>
        <w:rPr>
          <w:rFonts w:ascii="Arial" w:hAnsi="Arial" w:cs="Arial"/>
          <w:b/>
          <w:bCs/>
          <w:sz w:val="24"/>
          <w:szCs w:val="24"/>
        </w:rPr>
      </w:pPr>
      <w:r w:rsidRPr="005C111A">
        <w:rPr>
          <w:rFonts w:ascii="Arial" w:hAnsi="Arial" w:cs="Arial"/>
          <w:b/>
          <w:bCs/>
          <w:sz w:val="24"/>
          <w:szCs w:val="24"/>
        </w:rPr>
        <w:fldChar w:fldCharType="begin"/>
      </w:r>
      <w:r w:rsidRPr="005C111A">
        <w:rPr>
          <w:rFonts w:ascii="Arial" w:hAnsi="Arial" w:cs="Arial"/>
          <w:b/>
          <w:bCs/>
          <w:sz w:val="24"/>
          <w:szCs w:val="24"/>
        </w:rPr>
        <w:instrText xml:space="preserve"> DOCPROPERTY  Location  \* MERGEFORMAT </w:instrText>
      </w:r>
      <w:r w:rsidRPr="005C111A">
        <w:rPr>
          <w:rFonts w:ascii="Arial" w:hAnsi="Arial" w:cs="Arial"/>
          <w:b/>
          <w:bCs/>
          <w:sz w:val="24"/>
          <w:szCs w:val="24"/>
        </w:rPr>
        <w:fldChar w:fldCharType="separate"/>
      </w:r>
      <w:r w:rsidRPr="005C111A">
        <w:rPr>
          <w:rFonts w:ascii="Arial" w:hAnsi="Arial" w:cs="Arial"/>
          <w:b/>
          <w:bCs/>
          <w:noProof/>
          <w:sz w:val="24"/>
          <w:szCs w:val="24"/>
        </w:rPr>
        <w:t>Bengaluru</w:t>
      </w:r>
      <w:r w:rsidRPr="005C111A">
        <w:rPr>
          <w:rFonts w:ascii="Arial" w:hAnsi="Arial" w:cs="Arial"/>
          <w:b/>
          <w:bCs/>
          <w:noProof/>
          <w:sz w:val="24"/>
          <w:szCs w:val="24"/>
        </w:rPr>
        <w:fldChar w:fldCharType="end"/>
      </w:r>
      <w:r w:rsidRPr="005C111A">
        <w:rPr>
          <w:rFonts w:ascii="Arial" w:hAnsi="Arial" w:cs="Arial"/>
          <w:b/>
          <w:bCs/>
          <w:noProof/>
          <w:sz w:val="24"/>
          <w:szCs w:val="24"/>
        </w:rPr>
        <w:t xml:space="preserve">, </w:t>
      </w:r>
      <w:r w:rsidRPr="005C111A">
        <w:rPr>
          <w:rFonts w:ascii="Arial" w:hAnsi="Arial" w:cs="Arial"/>
          <w:b/>
          <w:bCs/>
          <w:sz w:val="24"/>
          <w:szCs w:val="24"/>
        </w:rPr>
        <w:fldChar w:fldCharType="begin"/>
      </w:r>
      <w:r w:rsidRPr="005C111A">
        <w:rPr>
          <w:rFonts w:ascii="Arial" w:hAnsi="Arial" w:cs="Arial"/>
          <w:b/>
          <w:bCs/>
          <w:sz w:val="24"/>
          <w:szCs w:val="24"/>
        </w:rPr>
        <w:instrText xml:space="preserve"> DOCPROPERTY  Country  \* MERGEFORMAT </w:instrText>
      </w:r>
      <w:r w:rsidRPr="005C111A">
        <w:rPr>
          <w:rFonts w:ascii="Arial" w:hAnsi="Arial" w:cs="Arial"/>
          <w:b/>
          <w:bCs/>
          <w:sz w:val="24"/>
          <w:szCs w:val="24"/>
        </w:rPr>
        <w:fldChar w:fldCharType="separate"/>
      </w:r>
      <w:r w:rsidRPr="005C111A">
        <w:rPr>
          <w:rFonts w:ascii="Arial" w:hAnsi="Arial" w:cs="Arial"/>
          <w:b/>
          <w:bCs/>
          <w:noProof/>
          <w:sz w:val="24"/>
          <w:szCs w:val="24"/>
        </w:rPr>
        <w:t>India</w:t>
      </w:r>
      <w:r w:rsidRPr="005C111A">
        <w:rPr>
          <w:rFonts w:ascii="Arial" w:hAnsi="Arial" w:cs="Arial"/>
          <w:b/>
          <w:bCs/>
          <w:noProof/>
          <w:sz w:val="24"/>
          <w:szCs w:val="24"/>
        </w:rPr>
        <w:fldChar w:fldCharType="end"/>
      </w:r>
      <w:r w:rsidRPr="005C111A">
        <w:rPr>
          <w:rFonts w:ascii="Arial" w:hAnsi="Arial" w:cs="Arial"/>
          <w:b/>
          <w:bCs/>
          <w:noProof/>
          <w:sz w:val="24"/>
          <w:szCs w:val="24"/>
        </w:rPr>
        <w:t xml:space="preserve">, </w:t>
      </w:r>
      <w:r w:rsidRPr="005C111A">
        <w:rPr>
          <w:rFonts w:ascii="Arial" w:hAnsi="Arial" w:cs="Arial"/>
          <w:b/>
          <w:bCs/>
          <w:sz w:val="24"/>
          <w:szCs w:val="24"/>
        </w:rPr>
        <w:fldChar w:fldCharType="begin"/>
      </w:r>
      <w:r w:rsidRPr="005C111A">
        <w:rPr>
          <w:rFonts w:ascii="Arial" w:hAnsi="Arial" w:cs="Arial"/>
          <w:b/>
          <w:bCs/>
          <w:sz w:val="24"/>
          <w:szCs w:val="24"/>
        </w:rPr>
        <w:instrText xml:space="preserve"> DOCPROPERTY  StartDate  \* MERGEFORMAT </w:instrText>
      </w:r>
      <w:r w:rsidRPr="005C111A">
        <w:rPr>
          <w:rFonts w:ascii="Arial" w:hAnsi="Arial" w:cs="Arial"/>
          <w:b/>
          <w:bCs/>
          <w:sz w:val="24"/>
          <w:szCs w:val="24"/>
        </w:rPr>
        <w:fldChar w:fldCharType="separate"/>
      </w:r>
      <w:r w:rsidRPr="005C111A">
        <w:rPr>
          <w:rFonts w:ascii="Arial" w:hAnsi="Arial" w:cs="Arial"/>
          <w:b/>
          <w:bCs/>
          <w:noProof/>
          <w:sz w:val="24"/>
          <w:szCs w:val="24"/>
        </w:rPr>
        <w:t xml:space="preserve"> </w:t>
      </w:r>
      <w:r w:rsidR="009D5375">
        <w:rPr>
          <w:rFonts w:ascii="Arial" w:hAnsi="Arial" w:cs="Arial"/>
          <w:b/>
          <w:bCs/>
          <w:noProof/>
          <w:sz w:val="24"/>
          <w:szCs w:val="24"/>
        </w:rPr>
        <w:t xml:space="preserve">Aug. </w:t>
      </w:r>
      <w:r w:rsidRPr="005C111A">
        <w:rPr>
          <w:rFonts w:ascii="Arial" w:hAnsi="Arial" w:cs="Arial"/>
          <w:b/>
          <w:bCs/>
          <w:noProof/>
          <w:sz w:val="24"/>
          <w:szCs w:val="24"/>
        </w:rPr>
        <w:t>25</w:t>
      </w:r>
      <w:r w:rsidRPr="005C111A">
        <w:rPr>
          <w:rFonts w:ascii="Arial" w:hAnsi="Arial" w:cs="Arial"/>
          <w:b/>
          <w:bCs/>
          <w:noProof/>
          <w:sz w:val="24"/>
          <w:szCs w:val="24"/>
        </w:rPr>
        <w:fldChar w:fldCharType="end"/>
      </w:r>
      <w:r w:rsidRPr="005C111A">
        <w:rPr>
          <w:rFonts w:ascii="Arial" w:hAnsi="Arial" w:cs="Arial"/>
          <w:b/>
          <w:bCs/>
          <w:noProof/>
          <w:sz w:val="24"/>
          <w:szCs w:val="24"/>
        </w:rPr>
        <w:t xml:space="preserve"> </w:t>
      </w:r>
      <w:r w:rsidR="009D5375">
        <w:rPr>
          <w:rFonts w:ascii="Arial" w:hAnsi="Arial" w:cs="Arial"/>
          <w:b/>
          <w:bCs/>
          <w:noProof/>
          <w:sz w:val="24"/>
          <w:szCs w:val="24"/>
        </w:rPr>
        <w:t>–</w:t>
      </w:r>
      <w:r w:rsidRPr="005C111A">
        <w:rPr>
          <w:rFonts w:ascii="Arial" w:hAnsi="Arial" w:cs="Arial"/>
          <w:b/>
          <w:bCs/>
          <w:noProof/>
          <w:sz w:val="24"/>
          <w:szCs w:val="24"/>
        </w:rPr>
        <w:t xml:space="preserve"> </w:t>
      </w:r>
      <w:r w:rsidR="009D5375">
        <w:rPr>
          <w:rFonts w:ascii="Arial" w:hAnsi="Arial" w:cs="Arial"/>
          <w:b/>
          <w:bCs/>
          <w:noProof/>
          <w:sz w:val="24"/>
          <w:szCs w:val="24"/>
        </w:rPr>
        <w:t>Aug. 29, 2025</w:t>
      </w:r>
    </w:p>
    <w:p w14:paraId="4AED29A0" w14:textId="77777777" w:rsidR="0044364B" w:rsidRPr="007928ED" w:rsidRDefault="0044364B" w:rsidP="0044364B">
      <w:pPr>
        <w:spacing w:after="120"/>
        <w:ind w:left="1985" w:hanging="1985"/>
        <w:rPr>
          <w:rFonts w:ascii="Arial" w:hAnsi="Arial" w:cs="Arial"/>
          <w:bCs/>
          <w:sz w:val="22"/>
          <w:szCs w:val="22"/>
          <w:lang w:val="en-US"/>
        </w:rPr>
      </w:pPr>
      <w:r w:rsidRPr="007928ED">
        <w:rPr>
          <w:rFonts w:ascii="Arial" w:hAnsi="Arial" w:cs="Arial"/>
          <w:b/>
          <w:sz w:val="22"/>
          <w:szCs w:val="22"/>
          <w:lang w:val="en-US"/>
        </w:rPr>
        <w:t>Source:</w:t>
      </w:r>
      <w:r w:rsidRPr="007928ED">
        <w:rPr>
          <w:rFonts w:ascii="Arial" w:hAnsi="Arial" w:cs="Arial"/>
          <w:b/>
          <w:sz w:val="22"/>
          <w:szCs w:val="22"/>
          <w:lang w:val="en-US"/>
        </w:rPr>
        <w:tab/>
      </w:r>
      <w:r w:rsidRPr="007928ED">
        <w:rPr>
          <w:rFonts w:ascii="Arial" w:hAnsi="Arial" w:cs="Arial"/>
          <w:bCs/>
          <w:sz w:val="22"/>
          <w:szCs w:val="22"/>
          <w:lang w:val="en-US"/>
        </w:rPr>
        <w:t>Ericsson</w:t>
      </w:r>
    </w:p>
    <w:p w14:paraId="0762B6CB" w14:textId="0D3A6746" w:rsidR="0044364B" w:rsidRPr="007928ED" w:rsidRDefault="0044364B" w:rsidP="0044364B">
      <w:pPr>
        <w:spacing w:after="120"/>
        <w:ind w:left="1985" w:hanging="1985"/>
        <w:rPr>
          <w:rFonts w:ascii="Arial" w:hAnsi="Arial" w:cs="Arial"/>
          <w:bCs/>
          <w:sz w:val="22"/>
          <w:szCs w:val="22"/>
          <w:lang w:val="en-US"/>
        </w:rPr>
      </w:pPr>
      <w:r w:rsidRPr="007928ED">
        <w:rPr>
          <w:rFonts w:ascii="Arial" w:hAnsi="Arial" w:cs="Arial"/>
          <w:b/>
          <w:sz w:val="22"/>
          <w:szCs w:val="22"/>
          <w:lang w:val="en-US"/>
        </w:rPr>
        <w:t>Title:</w:t>
      </w:r>
      <w:r w:rsidRPr="007928ED">
        <w:rPr>
          <w:rFonts w:ascii="Arial" w:hAnsi="Arial" w:cs="Arial"/>
          <w:sz w:val="22"/>
          <w:szCs w:val="22"/>
          <w:lang w:val="en-US"/>
        </w:rPr>
        <w:tab/>
      </w:r>
      <w:r w:rsidR="002C4075" w:rsidRPr="007928ED">
        <w:rPr>
          <w:rFonts w:ascii="Arial" w:hAnsi="Arial" w:cs="Arial"/>
          <w:bCs/>
          <w:sz w:val="22"/>
          <w:szCs w:val="22"/>
          <w:lang w:val="en-US"/>
        </w:rPr>
        <w:t xml:space="preserve">Performance requirements </w:t>
      </w:r>
      <w:r w:rsidR="00E55AEA" w:rsidRPr="007928ED">
        <w:rPr>
          <w:rFonts w:ascii="Arial" w:hAnsi="Arial" w:cs="Arial"/>
          <w:bCs/>
          <w:sz w:val="22"/>
          <w:szCs w:val="22"/>
          <w:lang w:val="en-US"/>
        </w:rPr>
        <w:t xml:space="preserve">for </w:t>
      </w:r>
      <w:r w:rsidR="00314F4A" w:rsidRPr="007928ED">
        <w:rPr>
          <w:rFonts w:ascii="Arial" w:hAnsi="Arial" w:cs="Arial"/>
          <w:bCs/>
          <w:sz w:val="22"/>
          <w:szCs w:val="22"/>
          <w:lang w:val="en-US"/>
        </w:rPr>
        <w:t>low-band</w:t>
      </w:r>
      <w:r w:rsidR="00E55AEA" w:rsidRPr="007928ED">
        <w:rPr>
          <w:rFonts w:ascii="Arial" w:hAnsi="Arial" w:cs="Arial"/>
          <w:bCs/>
          <w:sz w:val="22"/>
          <w:szCs w:val="22"/>
          <w:lang w:val="en-US"/>
        </w:rPr>
        <w:t xml:space="preserve"> carrier aggregation via switching</w:t>
      </w:r>
    </w:p>
    <w:p w14:paraId="710B5126" w14:textId="5834A69A" w:rsidR="00D12A57" w:rsidRPr="007928ED" w:rsidRDefault="006C1584" w:rsidP="00D12A57">
      <w:pPr>
        <w:spacing w:after="120"/>
        <w:ind w:left="1985" w:hanging="1985"/>
        <w:rPr>
          <w:rFonts w:ascii="Arial" w:hAnsi="Arial" w:cs="Arial"/>
          <w:b/>
          <w:sz w:val="22"/>
          <w:szCs w:val="22"/>
          <w:lang w:val="en-US"/>
        </w:rPr>
      </w:pPr>
      <w:r w:rsidRPr="007928ED">
        <w:rPr>
          <w:rFonts w:ascii="Arial" w:hAnsi="Arial" w:cs="Arial"/>
          <w:b/>
          <w:sz w:val="22"/>
          <w:szCs w:val="22"/>
          <w:lang w:val="en-US"/>
        </w:rPr>
        <w:t>Agenda item:</w:t>
      </w:r>
      <w:r w:rsidR="00D12A57" w:rsidRPr="007928ED">
        <w:rPr>
          <w:rFonts w:ascii="Arial" w:hAnsi="Arial" w:cs="Arial"/>
          <w:sz w:val="22"/>
          <w:szCs w:val="22"/>
          <w:lang w:val="en-US"/>
        </w:rPr>
        <w:tab/>
      </w:r>
      <w:r w:rsidR="00ED7C04" w:rsidRPr="007928ED">
        <w:rPr>
          <w:rFonts w:ascii="Arial" w:hAnsi="Arial" w:cs="Arial"/>
          <w:bCs/>
          <w:sz w:val="22"/>
          <w:szCs w:val="22"/>
          <w:lang w:val="en-US"/>
        </w:rPr>
        <w:t>7.3.5</w:t>
      </w:r>
    </w:p>
    <w:p w14:paraId="5A3522FA" w14:textId="4E6EAC2E" w:rsidR="00080512" w:rsidRPr="007928ED" w:rsidRDefault="006C1584" w:rsidP="009C3E5A">
      <w:pPr>
        <w:spacing w:after="120"/>
        <w:ind w:left="1985" w:hanging="1985"/>
        <w:rPr>
          <w:rFonts w:ascii="Arial" w:hAnsi="Arial" w:cs="Arial"/>
          <w:b/>
          <w:sz w:val="22"/>
          <w:szCs w:val="22"/>
          <w:lang w:val="en-US"/>
        </w:rPr>
      </w:pPr>
      <w:r w:rsidRPr="007928ED">
        <w:rPr>
          <w:rFonts w:ascii="Arial" w:hAnsi="Arial" w:cs="Arial"/>
          <w:b/>
          <w:sz w:val="22"/>
          <w:szCs w:val="22"/>
          <w:lang w:val="en-US"/>
        </w:rPr>
        <w:t>Document for:</w:t>
      </w:r>
      <w:r w:rsidR="00D12A57" w:rsidRPr="007928ED">
        <w:rPr>
          <w:rFonts w:ascii="Arial" w:hAnsi="Arial" w:cs="Arial"/>
          <w:sz w:val="22"/>
          <w:szCs w:val="22"/>
          <w:lang w:val="en-US"/>
        </w:rPr>
        <w:tab/>
      </w:r>
      <w:bookmarkEnd w:id="0"/>
      <w:r w:rsidR="00D560A3" w:rsidRPr="007928ED">
        <w:rPr>
          <w:rFonts w:ascii="Arial" w:hAnsi="Arial" w:cs="Arial"/>
          <w:bCs/>
          <w:sz w:val="22"/>
          <w:szCs w:val="22"/>
          <w:lang w:val="en-US"/>
        </w:rPr>
        <w:t>Discussion</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39A09F5D" w:rsidR="00B93FB3" w:rsidRPr="00005470" w:rsidRDefault="00572D25" w:rsidP="00B93FB3">
      <w:pPr>
        <w:rPr>
          <w:sz w:val="22"/>
          <w:szCs w:val="22"/>
          <w:lang w:val="en-US"/>
        </w:rPr>
      </w:pPr>
      <w:r w:rsidRPr="00005470">
        <w:rPr>
          <w:sz w:val="22"/>
          <w:szCs w:val="22"/>
          <w:lang w:val="en-US"/>
        </w:rPr>
        <w:t>RAN4#116 is the first meeting of the performance part of the WI</w:t>
      </w:r>
      <w:r w:rsidR="007A4C9B" w:rsidRPr="00005470">
        <w:rPr>
          <w:sz w:val="22"/>
          <w:szCs w:val="22"/>
          <w:lang w:val="en-US"/>
        </w:rPr>
        <w:t xml:space="preserve">. In this contribution we discuss and propose </w:t>
      </w:r>
      <w:r w:rsidR="00DA0F6B" w:rsidRPr="00005470">
        <w:rPr>
          <w:sz w:val="22"/>
          <w:szCs w:val="22"/>
          <w:lang w:val="en-US"/>
        </w:rPr>
        <w:t xml:space="preserve">performance requirements for </w:t>
      </w:r>
      <w:r w:rsidR="00681CB2" w:rsidRPr="00005470">
        <w:rPr>
          <w:sz w:val="22"/>
          <w:szCs w:val="22"/>
          <w:lang w:val="en-US"/>
        </w:rPr>
        <w:t>low-band</w:t>
      </w:r>
      <w:r w:rsidR="00DA0F6B" w:rsidRPr="00005470">
        <w:rPr>
          <w:sz w:val="22"/>
          <w:szCs w:val="22"/>
          <w:lang w:val="en-US"/>
        </w:rPr>
        <w:t xml:space="preserve"> carrier aggregation via switching and related test cases.</w:t>
      </w:r>
    </w:p>
    <w:p w14:paraId="31215D0A" w14:textId="566F41F6" w:rsidR="0051173F" w:rsidRDefault="0051173F" w:rsidP="0051173F">
      <w:pPr>
        <w:pStyle w:val="Heading1"/>
        <w:rPr>
          <w:lang w:val="en-US"/>
        </w:rPr>
      </w:pPr>
      <w:r>
        <w:rPr>
          <w:lang w:val="en-US"/>
        </w:rPr>
        <w:t>2</w:t>
      </w:r>
      <w:r>
        <w:rPr>
          <w:lang w:val="en-US"/>
        </w:rPr>
        <w:tab/>
        <w:t>Discussion</w:t>
      </w:r>
    </w:p>
    <w:p w14:paraId="709D2F60" w14:textId="407EEA68" w:rsidR="00BD05C2" w:rsidRPr="00E85613" w:rsidRDefault="00A07118" w:rsidP="00BD05C2">
      <w:pPr>
        <w:rPr>
          <w:sz w:val="22"/>
          <w:szCs w:val="22"/>
          <w:lang w:val="en-US"/>
        </w:rPr>
      </w:pPr>
      <w:r w:rsidRPr="00A07118">
        <w:rPr>
          <w:sz w:val="22"/>
          <w:szCs w:val="22"/>
        </w:rPr>
        <w:t xml:space="preserve">The core requirements for low-band CA are still under discussion, and the initial draft CRs have not yet been submitted. However, based on the work split agreed upon in the last meeting, we can begin </w:t>
      </w:r>
      <w:r w:rsidR="00005470" w:rsidRPr="00A07118">
        <w:rPr>
          <w:sz w:val="22"/>
          <w:szCs w:val="22"/>
        </w:rPr>
        <w:t>analysing</w:t>
      </w:r>
      <w:r w:rsidRPr="00A07118">
        <w:rPr>
          <w:sz w:val="22"/>
          <w:szCs w:val="22"/>
        </w:rPr>
        <w:t xml:space="preserve"> which requirements need to be tested for UEs supporting low-band CA via switching. For reference, the agreed work split is included below.</w:t>
      </w:r>
    </w:p>
    <w:tbl>
      <w:tblPr>
        <w:tblW w:w="0" w:type="auto"/>
        <w:tblCellMar>
          <w:left w:w="0" w:type="dxa"/>
          <w:right w:w="0" w:type="dxa"/>
        </w:tblCellMar>
        <w:tblLook w:val="04A0" w:firstRow="1" w:lastRow="0" w:firstColumn="1" w:lastColumn="0" w:noHBand="0" w:noVBand="1"/>
      </w:tblPr>
      <w:tblGrid>
        <w:gridCol w:w="988"/>
        <w:gridCol w:w="3526"/>
        <w:gridCol w:w="2893"/>
        <w:gridCol w:w="2218"/>
      </w:tblGrid>
      <w:tr w:rsidR="00E27F99" w:rsidRPr="00A21CE7" w14:paraId="1AB855B8" w14:textId="77777777" w:rsidTr="004A071A">
        <w:trPr>
          <w:trHeight w:val="25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BB4C2B0" w14:textId="77777777" w:rsidR="00E27F99" w:rsidRPr="00E85613" w:rsidRDefault="00E27F99" w:rsidP="004A071A">
            <w:pPr>
              <w:pStyle w:val="BodyText"/>
              <w:rPr>
                <w:sz w:val="22"/>
                <w:szCs w:val="22"/>
              </w:rPr>
            </w:pPr>
            <w:r w:rsidRPr="00E85613">
              <w:rPr>
                <w:sz w:val="22"/>
                <w:szCs w:val="22"/>
              </w:rPr>
              <w:t>Index</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9DD591" w14:textId="77777777" w:rsidR="00E27F99" w:rsidRPr="00E85613" w:rsidRDefault="00E27F99" w:rsidP="004A071A">
            <w:pPr>
              <w:pStyle w:val="BodyText"/>
              <w:rPr>
                <w:sz w:val="22"/>
                <w:szCs w:val="22"/>
              </w:rPr>
            </w:pPr>
            <w:r w:rsidRPr="00E85613">
              <w:rPr>
                <w:sz w:val="22"/>
                <w:szCs w:val="22"/>
              </w:rPr>
              <w:t>Requirement</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1710CA" w14:textId="77777777" w:rsidR="00E27F99" w:rsidRPr="00E85613" w:rsidRDefault="00E27F99" w:rsidP="004A071A">
            <w:pPr>
              <w:pStyle w:val="BodyText"/>
              <w:rPr>
                <w:sz w:val="22"/>
                <w:szCs w:val="22"/>
              </w:rPr>
            </w:pPr>
            <w:r w:rsidRPr="00E85613">
              <w:rPr>
                <w:sz w:val="22"/>
                <w:szCs w:val="22"/>
              </w:rPr>
              <w:t>note</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EBEB8C" w14:textId="77777777" w:rsidR="00E27F99" w:rsidRPr="00E85613" w:rsidRDefault="00E27F99" w:rsidP="004A071A">
            <w:pPr>
              <w:pStyle w:val="BodyText"/>
              <w:rPr>
                <w:sz w:val="22"/>
                <w:szCs w:val="22"/>
              </w:rPr>
            </w:pPr>
            <w:r w:rsidRPr="00E85613">
              <w:rPr>
                <w:sz w:val="22"/>
                <w:szCs w:val="22"/>
              </w:rPr>
              <w:t>Company</w:t>
            </w:r>
          </w:p>
        </w:tc>
      </w:tr>
      <w:tr w:rsidR="00E27F99" w:rsidRPr="00A21CE7" w14:paraId="152A1EA2" w14:textId="77777777" w:rsidTr="004A071A">
        <w:trPr>
          <w:trHeight w:val="630"/>
        </w:trPr>
        <w:tc>
          <w:tcPr>
            <w:tcW w:w="12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BD30FD" w14:textId="77777777" w:rsidR="00E27F99" w:rsidRPr="00E85613" w:rsidRDefault="00E27F99" w:rsidP="004A071A">
            <w:pPr>
              <w:pStyle w:val="BodyText"/>
              <w:rPr>
                <w:sz w:val="22"/>
                <w:szCs w:val="22"/>
              </w:rPr>
            </w:pPr>
            <w:r w:rsidRPr="00E85613">
              <w:rPr>
                <w:sz w:val="22"/>
                <w:szCs w:val="22"/>
              </w:rPr>
              <w:t>1</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0D15C6" w14:textId="77777777" w:rsidR="00E27F99" w:rsidRPr="00E85613" w:rsidRDefault="00E27F99" w:rsidP="004A071A">
            <w:pPr>
              <w:pStyle w:val="BodyText"/>
              <w:rPr>
                <w:sz w:val="22"/>
                <w:szCs w:val="22"/>
              </w:rPr>
            </w:pPr>
            <w:r w:rsidRPr="00E85613">
              <w:rPr>
                <w:sz w:val="22"/>
                <w:szCs w:val="22"/>
              </w:rPr>
              <w:t>Activated SDL SCell L3 measurement</w:t>
            </w:r>
          </w:p>
        </w:tc>
        <w:tc>
          <w:tcPr>
            <w:tcW w:w="42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095228" w14:textId="77777777" w:rsidR="00E27F99" w:rsidRPr="00E85613" w:rsidRDefault="00E27F99" w:rsidP="004A071A">
            <w:pPr>
              <w:pStyle w:val="BodyText"/>
              <w:rPr>
                <w:sz w:val="22"/>
                <w:szCs w:val="22"/>
              </w:rPr>
            </w:pPr>
            <w:r w:rsidRPr="00E85613">
              <w:rPr>
                <w:sz w:val="22"/>
                <w:szCs w:val="22"/>
              </w:rPr>
              <w:t>Activated and deactivated SCell measurement delay requirement can be in the same section.</w:t>
            </w:r>
          </w:p>
          <w:p w14:paraId="66A17A82" w14:textId="77777777" w:rsidR="00E27F99" w:rsidRPr="00E85613" w:rsidRDefault="00E27F99" w:rsidP="004A071A">
            <w:pPr>
              <w:pStyle w:val="BodyText"/>
              <w:rPr>
                <w:sz w:val="22"/>
                <w:szCs w:val="22"/>
              </w:rPr>
            </w:pPr>
            <w:r w:rsidRPr="00E85613">
              <w:rPr>
                <w:sz w:val="22"/>
                <w:szCs w:val="22"/>
              </w:rPr>
              <w:t xml:space="preserve"> All details </w:t>
            </w:r>
            <w:proofErr w:type="gramStart"/>
            <w:r w:rsidRPr="00E85613">
              <w:rPr>
                <w:sz w:val="22"/>
                <w:szCs w:val="22"/>
              </w:rPr>
              <w:t>are depending</w:t>
            </w:r>
            <w:proofErr w:type="gramEnd"/>
            <w:r w:rsidRPr="00E85613">
              <w:rPr>
                <w:sz w:val="22"/>
                <w:szCs w:val="22"/>
              </w:rPr>
              <w:t xml:space="preserve"> on the discussion.</w:t>
            </w:r>
          </w:p>
        </w:tc>
        <w:tc>
          <w:tcPr>
            <w:tcW w:w="32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BE5ACFC" w14:textId="77777777" w:rsidR="00E27F99" w:rsidRPr="00E85613" w:rsidRDefault="00E27F99" w:rsidP="004A071A">
            <w:pPr>
              <w:pStyle w:val="BodyText"/>
              <w:rPr>
                <w:sz w:val="22"/>
                <w:szCs w:val="22"/>
              </w:rPr>
            </w:pPr>
            <w:r w:rsidRPr="00E85613">
              <w:rPr>
                <w:sz w:val="22"/>
                <w:szCs w:val="22"/>
              </w:rPr>
              <w:t>OPPO</w:t>
            </w:r>
          </w:p>
        </w:tc>
      </w:tr>
      <w:tr w:rsidR="00E27F99" w:rsidRPr="00A21CE7" w14:paraId="103A751C" w14:textId="77777777" w:rsidTr="004A071A">
        <w:trPr>
          <w:trHeight w:val="10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E5F396" w14:textId="77777777" w:rsidR="00E27F99" w:rsidRPr="00E85613" w:rsidRDefault="00E27F99" w:rsidP="004A071A">
            <w:pPr>
              <w:pStyle w:val="BodyText"/>
              <w:rPr>
                <w:sz w:val="22"/>
                <w:szCs w:val="22"/>
              </w:rPr>
            </w:pP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BE86F4" w14:textId="77777777" w:rsidR="00E27F99" w:rsidRPr="00E85613" w:rsidRDefault="00E27F99" w:rsidP="004A071A">
            <w:pPr>
              <w:pStyle w:val="BodyText"/>
              <w:rPr>
                <w:sz w:val="22"/>
                <w:szCs w:val="22"/>
              </w:rPr>
            </w:pPr>
            <w:r w:rsidRPr="00E85613">
              <w:rPr>
                <w:sz w:val="22"/>
                <w:szCs w:val="22"/>
              </w:rPr>
              <w:t>Deactivated SDL SCell measurement</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4C00BB" w14:textId="77777777" w:rsidR="00E27F99" w:rsidRPr="00E85613" w:rsidRDefault="00E27F99" w:rsidP="004A071A">
            <w:pPr>
              <w:pStyle w:val="BodyText"/>
              <w:rPr>
                <w:sz w:val="22"/>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C4C15A" w14:textId="77777777" w:rsidR="00E27F99" w:rsidRPr="00E85613" w:rsidRDefault="00E27F99" w:rsidP="004A071A">
            <w:pPr>
              <w:pStyle w:val="BodyText"/>
              <w:rPr>
                <w:sz w:val="22"/>
                <w:szCs w:val="22"/>
              </w:rPr>
            </w:pPr>
          </w:p>
        </w:tc>
      </w:tr>
      <w:tr w:rsidR="00E27F99" w:rsidRPr="00A21CE7" w14:paraId="10D303E0" w14:textId="77777777" w:rsidTr="004A071A">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AB7DBA" w14:textId="77777777" w:rsidR="00E27F99" w:rsidRPr="00E85613" w:rsidRDefault="00E27F99" w:rsidP="004A071A">
            <w:pPr>
              <w:pStyle w:val="BodyText"/>
              <w:rPr>
                <w:sz w:val="22"/>
                <w:szCs w:val="22"/>
              </w:rPr>
            </w:pPr>
            <w:r w:rsidRPr="00E85613">
              <w:rPr>
                <w:sz w:val="22"/>
                <w:szCs w:val="22"/>
              </w:rPr>
              <w:t>2</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7031825" w14:textId="77777777" w:rsidR="00E27F99" w:rsidRPr="00E85613" w:rsidRDefault="00E27F99" w:rsidP="004A071A">
            <w:pPr>
              <w:pStyle w:val="BodyText"/>
              <w:rPr>
                <w:sz w:val="22"/>
                <w:szCs w:val="22"/>
              </w:rPr>
            </w:pPr>
            <w:r w:rsidRPr="00E85613">
              <w:rPr>
                <w:sz w:val="22"/>
                <w:szCs w:val="22"/>
              </w:rPr>
              <w:t>[Interruption for deactivated SDL SCell measurement]</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C21989" w14:textId="77777777" w:rsidR="00E27F99" w:rsidRPr="00E85613" w:rsidRDefault="00E27F99" w:rsidP="004A071A">
            <w:pPr>
              <w:pStyle w:val="BodyText"/>
              <w:rPr>
                <w:sz w:val="22"/>
                <w:szCs w:val="22"/>
              </w:rPr>
            </w:pP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5A6B4A" w14:textId="77777777" w:rsidR="00E27F99" w:rsidRPr="00E85613" w:rsidRDefault="00E27F99" w:rsidP="004A071A">
            <w:pPr>
              <w:pStyle w:val="BodyText"/>
              <w:rPr>
                <w:sz w:val="22"/>
                <w:szCs w:val="22"/>
              </w:rPr>
            </w:pPr>
            <w:r w:rsidRPr="00E85613">
              <w:rPr>
                <w:sz w:val="22"/>
                <w:szCs w:val="22"/>
              </w:rPr>
              <w:t>Xiaomi</w:t>
            </w:r>
          </w:p>
        </w:tc>
      </w:tr>
      <w:tr w:rsidR="00E27F99" w:rsidRPr="00A21CE7" w14:paraId="4676DD87" w14:textId="77777777" w:rsidTr="004A071A">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4863F2" w14:textId="77777777" w:rsidR="00E27F99" w:rsidRPr="00E85613" w:rsidRDefault="00E27F99" w:rsidP="004A071A">
            <w:pPr>
              <w:pStyle w:val="BodyText"/>
              <w:rPr>
                <w:sz w:val="22"/>
                <w:szCs w:val="22"/>
              </w:rPr>
            </w:pPr>
            <w:r w:rsidRPr="00E85613">
              <w:rPr>
                <w:sz w:val="22"/>
                <w:szCs w:val="22"/>
              </w:rPr>
              <w:t>3</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62EFDE7" w14:textId="77777777" w:rsidR="00E27F99" w:rsidRPr="00E85613" w:rsidRDefault="00E27F99" w:rsidP="004A071A">
            <w:pPr>
              <w:pStyle w:val="BodyText"/>
              <w:rPr>
                <w:sz w:val="22"/>
                <w:szCs w:val="22"/>
              </w:rPr>
            </w:pPr>
            <w:r w:rsidRPr="00E85613">
              <w:rPr>
                <w:sz w:val="22"/>
                <w:szCs w:val="22"/>
              </w:rPr>
              <w:t>SDL SCell activation/deactivation and corresponding interruption</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CF493B" w14:textId="77777777" w:rsidR="00E27F99" w:rsidRPr="00E85613" w:rsidRDefault="00E27F99" w:rsidP="004A071A">
            <w:pPr>
              <w:pStyle w:val="BodyText"/>
              <w:rPr>
                <w:sz w:val="22"/>
                <w:szCs w:val="22"/>
              </w:rPr>
            </w:pPr>
            <w:r w:rsidRPr="00E85613">
              <w:rPr>
                <w:sz w:val="22"/>
                <w:szCs w:val="22"/>
              </w:rPr>
              <w:t xml:space="preserve">All scope and details </w:t>
            </w:r>
            <w:proofErr w:type="gramStart"/>
            <w:r w:rsidRPr="00E85613">
              <w:rPr>
                <w:sz w:val="22"/>
                <w:szCs w:val="22"/>
              </w:rPr>
              <w:t>are depending</w:t>
            </w:r>
            <w:proofErr w:type="gramEnd"/>
            <w:r w:rsidRPr="00E85613">
              <w:rPr>
                <w:sz w:val="22"/>
                <w:szCs w:val="22"/>
              </w:rPr>
              <w:t xml:space="preserve"> on the discussion.</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392CC1" w14:textId="77777777" w:rsidR="00E27F99" w:rsidRPr="00E85613" w:rsidRDefault="00E27F99" w:rsidP="004A071A">
            <w:pPr>
              <w:pStyle w:val="BodyText"/>
              <w:rPr>
                <w:sz w:val="22"/>
                <w:szCs w:val="22"/>
              </w:rPr>
            </w:pPr>
            <w:r w:rsidRPr="00E85613">
              <w:rPr>
                <w:sz w:val="22"/>
                <w:szCs w:val="22"/>
              </w:rPr>
              <w:t>Nokia</w:t>
            </w:r>
          </w:p>
        </w:tc>
      </w:tr>
      <w:tr w:rsidR="00E27F99" w:rsidRPr="00A21CE7" w14:paraId="2C9A71EA" w14:textId="77777777" w:rsidTr="004A071A">
        <w:trPr>
          <w:trHeight w:val="118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91D4FB8" w14:textId="77777777" w:rsidR="00E27F99" w:rsidRPr="00E85613" w:rsidRDefault="00E27F99" w:rsidP="004A071A">
            <w:pPr>
              <w:pStyle w:val="BodyText"/>
              <w:rPr>
                <w:sz w:val="22"/>
                <w:szCs w:val="22"/>
              </w:rPr>
            </w:pPr>
            <w:r w:rsidRPr="00E85613">
              <w:rPr>
                <w:sz w:val="22"/>
                <w:szCs w:val="22"/>
              </w:rPr>
              <w:t>4</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883137" w14:textId="77777777" w:rsidR="00E27F99" w:rsidRPr="00E85613" w:rsidRDefault="00E27F99" w:rsidP="004A071A">
            <w:pPr>
              <w:pStyle w:val="BodyText"/>
              <w:rPr>
                <w:sz w:val="22"/>
                <w:szCs w:val="22"/>
              </w:rPr>
            </w:pPr>
            <w:r w:rsidRPr="00E85613">
              <w:rPr>
                <w:sz w:val="22"/>
                <w:szCs w:val="22"/>
              </w:rPr>
              <w:t>[BFD/CBD] for SDL SCell and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D4EFFD" w14:textId="77777777" w:rsidR="00E27F99" w:rsidRPr="00E85613" w:rsidRDefault="00E27F99" w:rsidP="004A071A">
            <w:pPr>
              <w:pStyle w:val="BodyText"/>
              <w:rPr>
                <w:sz w:val="22"/>
                <w:szCs w:val="22"/>
              </w:rPr>
            </w:pPr>
            <w:r w:rsidRPr="00E85613">
              <w:rPr>
                <w:sz w:val="22"/>
                <w:szCs w:val="22"/>
              </w:rPr>
              <w:t>(1) (If needed) BFD/CBD requirement for SDL SCell.</w:t>
            </w:r>
          </w:p>
          <w:p w14:paraId="0F076AB2" w14:textId="77777777" w:rsidR="00E27F99" w:rsidRPr="00E85613" w:rsidRDefault="00E27F99" w:rsidP="004A071A">
            <w:pPr>
              <w:pStyle w:val="BodyText"/>
              <w:rPr>
                <w:sz w:val="22"/>
                <w:szCs w:val="22"/>
              </w:rPr>
            </w:pPr>
            <w:r w:rsidRPr="00E85613">
              <w:rPr>
                <w:sz w:val="22"/>
                <w:szCs w:val="22"/>
              </w:rPr>
              <w:t>(2) (If needed) The impact of switching pattern to PCell BFD/CBD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94E178" w14:textId="77777777" w:rsidR="00E27F99" w:rsidRPr="00E85613" w:rsidRDefault="00E27F99" w:rsidP="004A071A">
            <w:pPr>
              <w:pStyle w:val="BodyText"/>
              <w:rPr>
                <w:sz w:val="22"/>
                <w:szCs w:val="22"/>
              </w:rPr>
            </w:pPr>
            <w:r w:rsidRPr="00E85613">
              <w:rPr>
                <w:sz w:val="22"/>
                <w:szCs w:val="22"/>
              </w:rPr>
              <w:t>Huawei</w:t>
            </w:r>
          </w:p>
        </w:tc>
      </w:tr>
      <w:tr w:rsidR="00E27F99" w:rsidRPr="00A21CE7" w14:paraId="58EF95FB" w14:textId="77777777" w:rsidTr="004A071A">
        <w:trPr>
          <w:trHeight w:val="1470"/>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10F620" w14:textId="77777777" w:rsidR="00E27F99" w:rsidRPr="00E85613" w:rsidRDefault="00E27F99" w:rsidP="004A071A">
            <w:pPr>
              <w:pStyle w:val="BodyText"/>
              <w:rPr>
                <w:sz w:val="22"/>
                <w:szCs w:val="22"/>
              </w:rPr>
            </w:pPr>
            <w:r w:rsidRPr="00E85613">
              <w:rPr>
                <w:sz w:val="22"/>
                <w:szCs w:val="22"/>
              </w:rPr>
              <w:t>5</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BEF47A" w14:textId="77777777" w:rsidR="00E27F99" w:rsidRPr="00E85613" w:rsidRDefault="00E27F99" w:rsidP="004A071A">
            <w:pPr>
              <w:pStyle w:val="BodyText"/>
              <w:rPr>
                <w:sz w:val="22"/>
                <w:szCs w:val="22"/>
              </w:rPr>
            </w:pPr>
            <w:r w:rsidRPr="00E85613">
              <w:rPr>
                <w:sz w:val="22"/>
                <w:szCs w:val="22"/>
              </w:rPr>
              <w:t>TCI state switch delay for SDL SCell and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B5D7C4" w14:textId="77777777" w:rsidR="00E27F99" w:rsidRPr="00E85613" w:rsidRDefault="00E27F99" w:rsidP="004A071A">
            <w:pPr>
              <w:pStyle w:val="BodyText"/>
              <w:rPr>
                <w:sz w:val="22"/>
                <w:szCs w:val="22"/>
              </w:rPr>
            </w:pPr>
            <w:r w:rsidRPr="00E85613">
              <w:rPr>
                <w:sz w:val="22"/>
                <w:szCs w:val="22"/>
              </w:rPr>
              <w:t>(1) TCI state switch delay requirement for SDL SCell.</w:t>
            </w:r>
          </w:p>
          <w:p w14:paraId="6C236653" w14:textId="77777777" w:rsidR="00E27F99" w:rsidRPr="00E85613" w:rsidRDefault="00E27F99" w:rsidP="004A071A">
            <w:pPr>
              <w:pStyle w:val="BodyText"/>
              <w:rPr>
                <w:sz w:val="22"/>
                <w:szCs w:val="22"/>
              </w:rPr>
            </w:pPr>
            <w:r w:rsidRPr="00E85613">
              <w:rPr>
                <w:sz w:val="22"/>
                <w:szCs w:val="22"/>
              </w:rPr>
              <w:t>(2) (If needed) The impact of switching pattern to PCell TCI state switch delay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195C1D" w14:textId="77777777" w:rsidR="00E27F99" w:rsidRPr="00E85613" w:rsidRDefault="00E27F99" w:rsidP="004A071A">
            <w:pPr>
              <w:pStyle w:val="BodyText"/>
              <w:rPr>
                <w:sz w:val="22"/>
                <w:szCs w:val="22"/>
              </w:rPr>
            </w:pPr>
            <w:r w:rsidRPr="00E85613">
              <w:rPr>
                <w:sz w:val="22"/>
                <w:szCs w:val="22"/>
              </w:rPr>
              <w:t>LGE</w:t>
            </w:r>
          </w:p>
        </w:tc>
      </w:tr>
      <w:tr w:rsidR="00E27F99" w:rsidRPr="00A21CE7" w14:paraId="7249383F" w14:textId="77777777" w:rsidTr="004A071A">
        <w:trPr>
          <w:trHeight w:val="52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59A907" w14:textId="77777777" w:rsidR="00E27F99" w:rsidRPr="00E85613" w:rsidRDefault="00E27F99" w:rsidP="004A071A">
            <w:pPr>
              <w:pStyle w:val="BodyText"/>
              <w:rPr>
                <w:sz w:val="22"/>
                <w:szCs w:val="22"/>
              </w:rPr>
            </w:pPr>
            <w:r w:rsidRPr="00E85613">
              <w:rPr>
                <w:sz w:val="22"/>
                <w:szCs w:val="22"/>
              </w:rPr>
              <w:t>6</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CB6727E" w14:textId="77777777" w:rsidR="00E27F99" w:rsidRPr="00E85613" w:rsidRDefault="00E27F99" w:rsidP="004A071A">
            <w:pPr>
              <w:pStyle w:val="BodyText"/>
              <w:rPr>
                <w:sz w:val="22"/>
                <w:szCs w:val="22"/>
              </w:rPr>
            </w:pPr>
            <w:r w:rsidRPr="00E85613">
              <w:rPr>
                <w:sz w:val="22"/>
                <w:szCs w:val="22"/>
              </w:rPr>
              <w:t>PL-RS switch delay for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533CD7" w14:textId="77777777" w:rsidR="00E27F99" w:rsidRPr="00E85613" w:rsidRDefault="00E27F99" w:rsidP="004A071A">
            <w:pPr>
              <w:pStyle w:val="BodyText"/>
              <w:rPr>
                <w:sz w:val="22"/>
                <w:szCs w:val="22"/>
              </w:rPr>
            </w:pPr>
            <w:r w:rsidRPr="00E85613">
              <w:rPr>
                <w:sz w:val="22"/>
                <w:szCs w:val="22"/>
              </w:rPr>
              <w:t>(If needed) The impact of switching pattern to PCell PL-RS switching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51E19E" w14:textId="77777777" w:rsidR="00E27F99" w:rsidRPr="00E85613" w:rsidRDefault="00E27F99" w:rsidP="004A071A">
            <w:pPr>
              <w:pStyle w:val="BodyText"/>
              <w:rPr>
                <w:sz w:val="22"/>
                <w:szCs w:val="22"/>
              </w:rPr>
            </w:pPr>
            <w:r w:rsidRPr="00E85613">
              <w:rPr>
                <w:sz w:val="22"/>
                <w:szCs w:val="22"/>
              </w:rPr>
              <w:t>ZTE</w:t>
            </w:r>
          </w:p>
        </w:tc>
      </w:tr>
      <w:tr w:rsidR="00E27F99" w:rsidRPr="00A21CE7" w14:paraId="0FB32882" w14:textId="77777777" w:rsidTr="004A071A">
        <w:trPr>
          <w:trHeight w:val="1455"/>
        </w:trPr>
        <w:tc>
          <w:tcPr>
            <w:tcW w:w="12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FFBE85" w14:textId="77777777" w:rsidR="00E27F99" w:rsidRPr="00E85613" w:rsidRDefault="00E27F99" w:rsidP="004A071A">
            <w:pPr>
              <w:pStyle w:val="BodyText"/>
              <w:rPr>
                <w:sz w:val="22"/>
                <w:szCs w:val="22"/>
              </w:rPr>
            </w:pPr>
            <w:r w:rsidRPr="00E85613">
              <w:rPr>
                <w:sz w:val="22"/>
                <w:szCs w:val="22"/>
              </w:rPr>
              <w:t>7</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3CFB69" w14:textId="77777777" w:rsidR="00E27F99" w:rsidRPr="00E85613" w:rsidRDefault="00E27F99" w:rsidP="004A071A">
            <w:pPr>
              <w:pStyle w:val="BodyText"/>
              <w:rPr>
                <w:sz w:val="22"/>
                <w:szCs w:val="22"/>
              </w:rPr>
            </w:pPr>
            <w:r w:rsidRPr="00E85613">
              <w:rPr>
                <w:sz w:val="22"/>
                <w:szCs w:val="22"/>
              </w:rPr>
              <w:t>L1-RSRP/SINR for SDL SCell and PCell (if needed)</w:t>
            </w:r>
          </w:p>
        </w:tc>
        <w:tc>
          <w:tcPr>
            <w:tcW w:w="42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985D82A" w14:textId="77777777" w:rsidR="00E27F99" w:rsidRPr="00E85613" w:rsidRDefault="00E27F99" w:rsidP="004A071A">
            <w:pPr>
              <w:pStyle w:val="BodyText"/>
              <w:rPr>
                <w:sz w:val="22"/>
                <w:szCs w:val="22"/>
              </w:rPr>
            </w:pPr>
            <w:r w:rsidRPr="00E85613">
              <w:rPr>
                <w:sz w:val="22"/>
                <w:szCs w:val="22"/>
              </w:rPr>
              <w:t>(1)L1-RSRP/SINR measurement requirement for SDL SCell.</w:t>
            </w:r>
          </w:p>
          <w:p w14:paraId="7EC2A81C" w14:textId="77777777" w:rsidR="00E27F99" w:rsidRPr="00E85613" w:rsidRDefault="00E27F99" w:rsidP="004A071A">
            <w:pPr>
              <w:pStyle w:val="BodyText"/>
              <w:rPr>
                <w:sz w:val="22"/>
                <w:szCs w:val="22"/>
              </w:rPr>
            </w:pPr>
            <w:r w:rsidRPr="00E85613">
              <w:rPr>
                <w:sz w:val="22"/>
                <w:szCs w:val="22"/>
              </w:rPr>
              <w:t>(2) (If needed) The impact of switching pattern to PCell L1-</w:t>
            </w:r>
            <w:r w:rsidRPr="00E85613">
              <w:rPr>
                <w:sz w:val="22"/>
                <w:szCs w:val="22"/>
              </w:rPr>
              <w:lastRenderedPageBreak/>
              <w:t>RSRP/SINR measurement requirement</w:t>
            </w:r>
          </w:p>
        </w:tc>
        <w:tc>
          <w:tcPr>
            <w:tcW w:w="32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CB826BF" w14:textId="77777777" w:rsidR="00E27F99" w:rsidRPr="00E85613" w:rsidRDefault="00E27F99" w:rsidP="004A071A">
            <w:pPr>
              <w:pStyle w:val="BodyText"/>
              <w:rPr>
                <w:sz w:val="22"/>
                <w:szCs w:val="22"/>
              </w:rPr>
            </w:pPr>
            <w:r w:rsidRPr="00E85613">
              <w:rPr>
                <w:sz w:val="22"/>
                <w:szCs w:val="22"/>
              </w:rPr>
              <w:lastRenderedPageBreak/>
              <w:t>Samsung</w:t>
            </w:r>
          </w:p>
        </w:tc>
      </w:tr>
      <w:tr w:rsidR="00E27F99" w:rsidRPr="00A21CE7" w14:paraId="781A5D94" w14:textId="77777777" w:rsidTr="004A071A">
        <w:trPr>
          <w:trHeight w:val="540"/>
        </w:trPr>
        <w:tc>
          <w:tcPr>
            <w:tcW w:w="123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25C2C4" w14:textId="77777777" w:rsidR="00E27F99" w:rsidRPr="00E85613" w:rsidRDefault="00E27F99" w:rsidP="004A071A">
            <w:pPr>
              <w:pStyle w:val="BodyText"/>
              <w:rPr>
                <w:sz w:val="22"/>
                <w:szCs w:val="22"/>
              </w:rPr>
            </w:pPr>
            <w:r w:rsidRPr="00E85613">
              <w:rPr>
                <w:sz w:val="22"/>
                <w:szCs w:val="22"/>
              </w:rPr>
              <w:t>8</w:t>
            </w: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ADB43E" w14:textId="77777777" w:rsidR="00E27F99" w:rsidRPr="00E85613" w:rsidRDefault="00E27F99" w:rsidP="004A071A">
            <w:pPr>
              <w:pStyle w:val="BodyText"/>
              <w:rPr>
                <w:sz w:val="22"/>
                <w:szCs w:val="22"/>
              </w:rPr>
            </w:pPr>
            <w:r w:rsidRPr="00E85613">
              <w:rPr>
                <w:sz w:val="22"/>
                <w:szCs w:val="22"/>
              </w:rPr>
              <w:t>PCC L3 measurement delay requirement (if needed)</w:t>
            </w:r>
          </w:p>
        </w:tc>
        <w:tc>
          <w:tcPr>
            <w:tcW w:w="42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E87C99" w14:textId="77777777" w:rsidR="00E27F99" w:rsidRPr="00E85613" w:rsidRDefault="00E27F99" w:rsidP="004A071A">
            <w:pPr>
              <w:pStyle w:val="BodyText"/>
              <w:rPr>
                <w:sz w:val="22"/>
                <w:szCs w:val="22"/>
              </w:rPr>
            </w:pPr>
            <w:r w:rsidRPr="00E85613">
              <w:rPr>
                <w:sz w:val="22"/>
                <w:szCs w:val="22"/>
              </w:rPr>
              <w:t> (1) PCC L3 requirement impact can also be captured if needed.</w:t>
            </w:r>
          </w:p>
          <w:p w14:paraId="6A00DDC2" w14:textId="77777777" w:rsidR="00E27F99" w:rsidRPr="00E85613" w:rsidRDefault="00E27F99" w:rsidP="004A071A">
            <w:pPr>
              <w:pStyle w:val="BodyText"/>
              <w:rPr>
                <w:sz w:val="22"/>
                <w:szCs w:val="22"/>
              </w:rPr>
            </w:pPr>
            <w:r w:rsidRPr="00E85613">
              <w:rPr>
                <w:sz w:val="22"/>
                <w:szCs w:val="22"/>
              </w:rPr>
              <w:t>(2) PCell RLM requirement impact can also be captured if needed.</w:t>
            </w:r>
          </w:p>
        </w:tc>
        <w:tc>
          <w:tcPr>
            <w:tcW w:w="32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48560F" w14:textId="77777777" w:rsidR="00E27F99" w:rsidRPr="00E85613" w:rsidRDefault="00E27F99" w:rsidP="004A071A">
            <w:pPr>
              <w:pStyle w:val="BodyText"/>
              <w:rPr>
                <w:sz w:val="22"/>
                <w:szCs w:val="22"/>
              </w:rPr>
            </w:pPr>
            <w:r w:rsidRPr="00E85613">
              <w:rPr>
                <w:sz w:val="22"/>
                <w:szCs w:val="22"/>
              </w:rPr>
              <w:t>Ericsson</w:t>
            </w:r>
          </w:p>
        </w:tc>
      </w:tr>
      <w:tr w:rsidR="00E27F99" w:rsidRPr="00A21CE7" w14:paraId="4C4BB10F" w14:textId="77777777" w:rsidTr="004A071A">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684F8B1" w14:textId="77777777" w:rsidR="00E27F99" w:rsidRPr="00E85613" w:rsidRDefault="00E27F99" w:rsidP="004A071A">
            <w:pPr>
              <w:pStyle w:val="BodyText"/>
              <w:rPr>
                <w:sz w:val="22"/>
                <w:szCs w:val="22"/>
              </w:rPr>
            </w:pPr>
          </w:p>
        </w:tc>
        <w:tc>
          <w:tcPr>
            <w:tcW w:w="47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4576F1" w14:textId="77777777" w:rsidR="00E27F99" w:rsidRPr="00E85613" w:rsidRDefault="00E27F99" w:rsidP="004A071A">
            <w:pPr>
              <w:pStyle w:val="BodyText"/>
              <w:rPr>
                <w:sz w:val="22"/>
                <w:szCs w:val="22"/>
              </w:rPr>
            </w:pPr>
            <w:r w:rsidRPr="00E85613">
              <w:rPr>
                <w:sz w:val="22"/>
                <w:szCs w:val="22"/>
              </w:rPr>
              <w:t>RLM requirement for PCell (if needed)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F0D0D2" w14:textId="77777777" w:rsidR="00E27F99" w:rsidRPr="00E85613" w:rsidRDefault="00E27F99" w:rsidP="004A071A">
            <w:pPr>
              <w:pStyle w:val="BodyText"/>
              <w:rPr>
                <w:sz w:val="22"/>
                <w:szCs w:val="22"/>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87D6E3" w14:textId="77777777" w:rsidR="00E27F99" w:rsidRPr="00E85613" w:rsidRDefault="00E27F99" w:rsidP="004A071A">
            <w:pPr>
              <w:pStyle w:val="BodyText"/>
              <w:rPr>
                <w:sz w:val="22"/>
                <w:szCs w:val="22"/>
              </w:rPr>
            </w:pPr>
          </w:p>
        </w:tc>
      </w:tr>
    </w:tbl>
    <w:p w14:paraId="66AF57AA" w14:textId="77777777" w:rsidR="00FE3B4F" w:rsidRDefault="00FE3B4F" w:rsidP="00BD05C2"/>
    <w:p w14:paraId="6EF0D0D2" w14:textId="6B655177" w:rsidR="003370A1" w:rsidRPr="004511B1" w:rsidRDefault="006453B2" w:rsidP="00BD05C2">
      <w:pPr>
        <w:rPr>
          <w:sz w:val="22"/>
          <w:szCs w:val="22"/>
        </w:rPr>
      </w:pPr>
      <w:r w:rsidRPr="004511B1">
        <w:rPr>
          <w:sz w:val="22"/>
          <w:szCs w:val="22"/>
        </w:rPr>
        <w:t xml:space="preserve">Based on the above table we think RAN4 at least need to define test cases for </w:t>
      </w:r>
      <w:r w:rsidR="004F2B6E" w:rsidRPr="004511B1">
        <w:rPr>
          <w:sz w:val="22"/>
          <w:szCs w:val="22"/>
        </w:rPr>
        <w:t>following.</w:t>
      </w:r>
    </w:p>
    <w:p w14:paraId="2317F20F" w14:textId="77777777" w:rsidR="00A764A2" w:rsidRPr="004511B1" w:rsidRDefault="00A764A2" w:rsidP="00E85613">
      <w:pPr>
        <w:pStyle w:val="ListParagraph"/>
        <w:numPr>
          <w:ilvl w:val="0"/>
          <w:numId w:val="6"/>
        </w:numPr>
        <w:rPr>
          <w:sz w:val="22"/>
          <w:szCs w:val="22"/>
        </w:rPr>
      </w:pPr>
      <w:r w:rsidRPr="004511B1">
        <w:rPr>
          <w:sz w:val="22"/>
          <w:szCs w:val="22"/>
        </w:rPr>
        <w:t>Activated SDL SCell L3 measurement</w:t>
      </w:r>
    </w:p>
    <w:p w14:paraId="68ADFFEB" w14:textId="77777777" w:rsidR="00A764A2" w:rsidRPr="004511B1" w:rsidRDefault="00A764A2" w:rsidP="00E85613">
      <w:pPr>
        <w:pStyle w:val="ListParagraph"/>
        <w:numPr>
          <w:ilvl w:val="0"/>
          <w:numId w:val="6"/>
        </w:numPr>
        <w:rPr>
          <w:sz w:val="22"/>
          <w:szCs w:val="22"/>
        </w:rPr>
      </w:pPr>
      <w:r w:rsidRPr="004511B1">
        <w:rPr>
          <w:sz w:val="22"/>
          <w:szCs w:val="22"/>
        </w:rPr>
        <w:t>Deactivated SDL SCell measurement</w:t>
      </w:r>
    </w:p>
    <w:p w14:paraId="062A9F32" w14:textId="3B1C62B7" w:rsidR="00A764A2" w:rsidRPr="004511B1" w:rsidRDefault="00A764A2" w:rsidP="00E85613">
      <w:pPr>
        <w:pStyle w:val="ListParagraph"/>
        <w:numPr>
          <w:ilvl w:val="0"/>
          <w:numId w:val="6"/>
        </w:numPr>
        <w:rPr>
          <w:sz w:val="22"/>
          <w:szCs w:val="22"/>
        </w:rPr>
      </w:pPr>
      <w:r w:rsidRPr="004511B1">
        <w:rPr>
          <w:sz w:val="22"/>
          <w:szCs w:val="22"/>
        </w:rPr>
        <w:t xml:space="preserve">SDL SCell activation/deactivation </w:t>
      </w:r>
      <w:r w:rsidR="006453B2" w:rsidRPr="004511B1">
        <w:rPr>
          <w:sz w:val="22"/>
          <w:szCs w:val="22"/>
        </w:rPr>
        <w:t xml:space="preserve">delay </w:t>
      </w:r>
      <w:r w:rsidRPr="004511B1">
        <w:rPr>
          <w:sz w:val="22"/>
          <w:szCs w:val="22"/>
        </w:rPr>
        <w:t>and corresponding interruption</w:t>
      </w:r>
    </w:p>
    <w:p w14:paraId="31025120" w14:textId="68DDCF7B" w:rsidR="004F2B6E" w:rsidRPr="004511B1" w:rsidRDefault="004F2B6E" w:rsidP="006453B2">
      <w:pPr>
        <w:rPr>
          <w:sz w:val="22"/>
          <w:szCs w:val="22"/>
        </w:rPr>
      </w:pPr>
      <w:r w:rsidRPr="004511B1">
        <w:rPr>
          <w:sz w:val="22"/>
          <w:szCs w:val="22"/>
        </w:rPr>
        <w:t xml:space="preserve">The requirements which </w:t>
      </w:r>
      <w:r w:rsidR="00930518" w:rsidRPr="004511B1">
        <w:rPr>
          <w:sz w:val="22"/>
          <w:szCs w:val="22"/>
        </w:rPr>
        <w:t>can be FFS for the test cases are:</w:t>
      </w:r>
    </w:p>
    <w:p w14:paraId="20059E61" w14:textId="2817AC8E" w:rsidR="006453B2" w:rsidRPr="004511B1" w:rsidRDefault="006453B2" w:rsidP="00E85613">
      <w:pPr>
        <w:pStyle w:val="ListParagraph"/>
        <w:numPr>
          <w:ilvl w:val="0"/>
          <w:numId w:val="7"/>
        </w:numPr>
        <w:rPr>
          <w:sz w:val="22"/>
          <w:szCs w:val="22"/>
        </w:rPr>
      </w:pPr>
      <w:r w:rsidRPr="004511B1">
        <w:rPr>
          <w:sz w:val="22"/>
          <w:szCs w:val="22"/>
        </w:rPr>
        <w:t>Interruption for deactivated SDL SCell measurement</w:t>
      </w:r>
    </w:p>
    <w:p w14:paraId="2C29FF6E" w14:textId="5C5BAF4A" w:rsidR="00A764A2" w:rsidRPr="004511B1" w:rsidRDefault="00A764A2" w:rsidP="00E85613">
      <w:pPr>
        <w:pStyle w:val="ListParagraph"/>
        <w:numPr>
          <w:ilvl w:val="0"/>
          <w:numId w:val="7"/>
        </w:numPr>
        <w:rPr>
          <w:sz w:val="22"/>
          <w:szCs w:val="22"/>
        </w:rPr>
      </w:pPr>
      <w:r w:rsidRPr="004511B1">
        <w:rPr>
          <w:sz w:val="22"/>
          <w:szCs w:val="22"/>
        </w:rPr>
        <w:t xml:space="preserve">[BFD/CBD] for SDL SCell and PCell </w:t>
      </w:r>
    </w:p>
    <w:p w14:paraId="6238F6A0" w14:textId="433D3DEB" w:rsidR="00A764A2" w:rsidRPr="004511B1" w:rsidRDefault="00A764A2" w:rsidP="00E85613">
      <w:pPr>
        <w:pStyle w:val="ListParagraph"/>
        <w:numPr>
          <w:ilvl w:val="0"/>
          <w:numId w:val="7"/>
        </w:numPr>
        <w:rPr>
          <w:sz w:val="22"/>
          <w:szCs w:val="22"/>
        </w:rPr>
      </w:pPr>
      <w:r w:rsidRPr="004511B1">
        <w:rPr>
          <w:sz w:val="22"/>
          <w:szCs w:val="22"/>
        </w:rPr>
        <w:t xml:space="preserve">TCI state switch delay for SDL SCell and PCell </w:t>
      </w:r>
    </w:p>
    <w:p w14:paraId="3E5A45E5" w14:textId="67C66EDE" w:rsidR="00A764A2" w:rsidRPr="004511B1" w:rsidRDefault="00A764A2" w:rsidP="00E85613">
      <w:pPr>
        <w:pStyle w:val="ListParagraph"/>
        <w:numPr>
          <w:ilvl w:val="0"/>
          <w:numId w:val="7"/>
        </w:numPr>
        <w:rPr>
          <w:sz w:val="22"/>
          <w:szCs w:val="22"/>
        </w:rPr>
      </w:pPr>
      <w:r w:rsidRPr="004511B1">
        <w:rPr>
          <w:sz w:val="22"/>
          <w:szCs w:val="22"/>
        </w:rPr>
        <w:t xml:space="preserve">PL-RS switch delay for PCell </w:t>
      </w:r>
    </w:p>
    <w:p w14:paraId="28384001" w14:textId="765EB765" w:rsidR="00A764A2" w:rsidRPr="004511B1" w:rsidRDefault="00A764A2" w:rsidP="00E85613">
      <w:pPr>
        <w:pStyle w:val="ListParagraph"/>
        <w:numPr>
          <w:ilvl w:val="0"/>
          <w:numId w:val="7"/>
        </w:numPr>
        <w:rPr>
          <w:sz w:val="22"/>
          <w:szCs w:val="22"/>
        </w:rPr>
      </w:pPr>
      <w:r w:rsidRPr="004511B1">
        <w:rPr>
          <w:sz w:val="22"/>
          <w:szCs w:val="22"/>
        </w:rPr>
        <w:t xml:space="preserve">L1-RSRP/SINR for SDL SCell and PCell </w:t>
      </w:r>
    </w:p>
    <w:p w14:paraId="10FC29BA" w14:textId="7C4C6337" w:rsidR="00A764A2" w:rsidRPr="004511B1" w:rsidRDefault="00A764A2" w:rsidP="00E85613">
      <w:pPr>
        <w:pStyle w:val="ListParagraph"/>
        <w:numPr>
          <w:ilvl w:val="0"/>
          <w:numId w:val="7"/>
        </w:numPr>
        <w:rPr>
          <w:sz w:val="22"/>
          <w:szCs w:val="22"/>
        </w:rPr>
      </w:pPr>
      <w:r w:rsidRPr="004511B1">
        <w:rPr>
          <w:sz w:val="22"/>
          <w:szCs w:val="22"/>
        </w:rPr>
        <w:t xml:space="preserve">PCC L3 measurement delay requirement </w:t>
      </w:r>
    </w:p>
    <w:p w14:paraId="73F13CB5" w14:textId="6FA5A103" w:rsidR="00A764A2" w:rsidRPr="004511B1" w:rsidRDefault="00A764A2" w:rsidP="00930518">
      <w:pPr>
        <w:pStyle w:val="ListParagraph"/>
        <w:numPr>
          <w:ilvl w:val="0"/>
          <w:numId w:val="7"/>
        </w:numPr>
        <w:rPr>
          <w:sz w:val="22"/>
          <w:szCs w:val="22"/>
        </w:rPr>
      </w:pPr>
      <w:r w:rsidRPr="004511B1">
        <w:rPr>
          <w:sz w:val="22"/>
          <w:szCs w:val="22"/>
        </w:rPr>
        <w:t xml:space="preserve">RLM requirement for PCell </w:t>
      </w:r>
    </w:p>
    <w:p w14:paraId="294176E3" w14:textId="77777777" w:rsidR="006B2174" w:rsidRPr="004511B1" w:rsidRDefault="006B2174" w:rsidP="006B2174">
      <w:pPr>
        <w:rPr>
          <w:sz w:val="22"/>
          <w:szCs w:val="22"/>
        </w:rPr>
      </w:pPr>
    </w:p>
    <w:p w14:paraId="7D3FDD20" w14:textId="07340375" w:rsidR="006B2174" w:rsidRPr="004511B1" w:rsidRDefault="006B2174" w:rsidP="00856E7F">
      <w:pPr>
        <w:pStyle w:val="ListParagraph"/>
        <w:numPr>
          <w:ilvl w:val="0"/>
          <w:numId w:val="8"/>
        </w:numPr>
        <w:rPr>
          <w:sz w:val="22"/>
          <w:szCs w:val="22"/>
        </w:rPr>
      </w:pPr>
      <w:r w:rsidRPr="004511B1">
        <w:rPr>
          <w:sz w:val="22"/>
          <w:szCs w:val="22"/>
        </w:rPr>
        <w:t>RAN4 to agree on defining following list of test cases for UE supporting low-band CA via switching</w:t>
      </w:r>
    </w:p>
    <w:p w14:paraId="6D3A14E1" w14:textId="77777777" w:rsidR="002C19E6" w:rsidRPr="004511B1" w:rsidRDefault="002C19E6" w:rsidP="00856E7F">
      <w:pPr>
        <w:pStyle w:val="ListParagraph"/>
        <w:numPr>
          <w:ilvl w:val="0"/>
          <w:numId w:val="6"/>
        </w:numPr>
        <w:ind w:left="1212"/>
        <w:rPr>
          <w:sz w:val="22"/>
          <w:szCs w:val="22"/>
        </w:rPr>
      </w:pPr>
      <w:r w:rsidRPr="004511B1">
        <w:rPr>
          <w:sz w:val="22"/>
          <w:szCs w:val="22"/>
        </w:rPr>
        <w:t>Activated SDL SCell L3 measurement</w:t>
      </w:r>
    </w:p>
    <w:p w14:paraId="683FE490" w14:textId="77777777" w:rsidR="002C19E6" w:rsidRPr="004511B1" w:rsidRDefault="002C19E6" w:rsidP="00856E7F">
      <w:pPr>
        <w:pStyle w:val="ListParagraph"/>
        <w:numPr>
          <w:ilvl w:val="0"/>
          <w:numId w:val="6"/>
        </w:numPr>
        <w:ind w:left="1212"/>
        <w:rPr>
          <w:sz w:val="22"/>
          <w:szCs w:val="22"/>
        </w:rPr>
      </w:pPr>
      <w:r w:rsidRPr="004511B1">
        <w:rPr>
          <w:sz w:val="22"/>
          <w:szCs w:val="22"/>
        </w:rPr>
        <w:t>Deactivated SDL SCell measurement</w:t>
      </w:r>
    </w:p>
    <w:p w14:paraId="763046A5" w14:textId="77777777" w:rsidR="002C19E6" w:rsidRPr="004511B1" w:rsidRDefault="002C19E6" w:rsidP="00856E7F">
      <w:pPr>
        <w:pStyle w:val="ListParagraph"/>
        <w:numPr>
          <w:ilvl w:val="0"/>
          <w:numId w:val="6"/>
        </w:numPr>
        <w:ind w:left="1212"/>
        <w:rPr>
          <w:sz w:val="22"/>
          <w:szCs w:val="22"/>
        </w:rPr>
      </w:pPr>
      <w:r w:rsidRPr="004511B1">
        <w:rPr>
          <w:sz w:val="22"/>
          <w:szCs w:val="22"/>
        </w:rPr>
        <w:t>SDL SCell activation/deactivation delay and corresponding interruption</w:t>
      </w:r>
    </w:p>
    <w:p w14:paraId="295AB6C6" w14:textId="3DFEB9EA" w:rsidR="00ED01DB" w:rsidRPr="004511B1" w:rsidRDefault="00ED01DB" w:rsidP="00856E7F">
      <w:pPr>
        <w:pStyle w:val="ListParagraph"/>
        <w:numPr>
          <w:ilvl w:val="0"/>
          <w:numId w:val="7"/>
        </w:numPr>
        <w:ind w:left="1212"/>
        <w:rPr>
          <w:sz w:val="22"/>
          <w:szCs w:val="22"/>
        </w:rPr>
      </w:pPr>
      <w:r w:rsidRPr="004511B1">
        <w:rPr>
          <w:sz w:val="22"/>
          <w:szCs w:val="22"/>
        </w:rPr>
        <w:t>FFS</w:t>
      </w:r>
      <w:r w:rsidR="00856E7F" w:rsidRPr="004511B1">
        <w:rPr>
          <w:sz w:val="22"/>
          <w:szCs w:val="22"/>
        </w:rPr>
        <w:t>:</w:t>
      </w:r>
    </w:p>
    <w:p w14:paraId="39291A16" w14:textId="2719F1B7" w:rsidR="002C19E6" w:rsidRPr="004511B1" w:rsidRDefault="002C19E6" w:rsidP="00856E7F">
      <w:pPr>
        <w:pStyle w:val="ListParagraph"/>
        <w:numPr>
          <w:ilvl w:val="1"/>
          <w:numId w:val="7"/>
        </w:numPr>
        <w:rPr>
          <w:sz w:val="22"/>
          <w:szCs w:val="22"/>
        </w:rPr>
      </w:pPr>
      <w:r w:rsidRPr="004511B1">
        <w:rPr>
          <w:sz w:val="22"/>
          <w:szCs w:val="22"/>
        </w:rPr>
        <w:t>Interruption for deactivated SDL SCell measurement</w:t>
      </w:r>
    </w:p>
    <w:p w14:paraId="78DA8A44" w14:textId="77777777" w:rsidR="002C19E6" w:rsidRPr="004511B1" w:rsidRDefault="002C19E6" w:rsidP="00856E7F">
      <w:pPr>
        <w:pStyle w:val="ListParagraph"/>
        <w:numPr>
          <w:ilvl w:val="1"/>
          <w:numId w:val="7"/>
        </w:numPr>
        <w:rPr>
          <w:sz w:val="22"/>
          <w:szCs w:val="22"/>
        </w:rPr>
      </w:pPr>
      <w:r w:rsidRPr="004511B1">
        <w:rPr>
          <w:sz w:val="22"/>
          <w:szCs w:val="22"/>
        </w:rPr>
        <w:t xml:space="preserve">[BFD/CBD] for SDL SCell and PCell </w:t>
      </w:r>
    </w:p>
    <w:p w14:paraId="72F74F75" w14:textId="77777777" w:rsidR="002C19E6" w:rsidRPr="004511B1" w:rsidRDefault="002C19E6" w:rsidP="00856E7F">
      <w:pPr>
        <w:pStyle w:val="ListParagraph"/>
        <w:numPr>
          <w:ilvl w:val="1"/>
          <w:numId w:val="7"/>
        </w:numPr>
        <w:rPr>
          <w:sz w:val="22"/>
          <w:szCs w:val="22"/>
        </w:rPr>
      </w:pPr>
      <w:r w:rsidRPr="004511B1">
        <w:rPr>
          <w:sz w:val="22"/>
          <w:szCs w:val="22"/>
        </w:rPr>
        <w:t xml:space="preserve">TCI state switch delay for SDL SCell and PCell </w:t>
      </w:r>
    </w:p>
    <w:p w14:paraId="14B025FB" w14:textId="77777777" w:rsidR="002C19E6" w:rsidRPr="004511B1" w:rsidRDefault="002C19E6" w:rsidP="00856E7F">
      <w:pPr>
        <w:pStyle w:val="ListParagraph"/>
        <w:numPr>
          <w:ilvl w:val="1"/>
          <w:numId w:val="7"/>
        </w:numPr>
        <w:rPr>
          <w:sz w:val="22"/>
          <w:szCs w:val="22"/>
        </w:rPr>
      </w:pPr>
      <w:r w:rsidRPr="004511B1">
        <w:rPr>
          <w:sz w:val="22"/>
          <w:szCs w:val="22"/>
        </w:rPr>
        <w:t xml:space="preserve">PL-RS switch delay for PCell </w:t>
      </w:r>
    </w:p>
    <w:p w14:paraId="44ADC601" w14:textId="77777777" w:rsidR="002C19E6" w:rsidRPr="004511B1" w:rsidRDefault="002C19E6" w:rsidP="00856E7F">
      <w:pPr>
        <w:pStyle w:val="ListParagraph"/>
        <w:numPr>
          <w:ilvl w:val="1"/>
          <w:numId w:val="7"/>
        </w:numPr>
        <w:rPr>
          <w:sz w:val="22"/>
          <w:szCs w:val="22"/>
        </w:rPr>
      </w:pPr>
      <w:r w:rsidRPr="004511B1">
        <w:rPr>
          <w:sz w:val="22"/>
          <w:szCs w:val="22"/>
        </w:rPr>
        <w:t xml:space="preserve">L1-RSRP/SINR for SDL SCell and PCell </w:t>
      </w:r>
    </w:p>
    <w:p w14:paraId="5991FA90" w14:textId="77777777" w:rsidR="002C19E6" w:rsidRPr="004511B1" w:rsidRDefault="002C19E6" w:rsidP="00856E7F">
      <w:pPr>
        <w:pStyle w:val="ListParagraph"/>
        <w:numPr>
          <w:ilvl w:val="1"/>
          <w:numId w:val="7"/>
        </w:numPr>
        <w:rPr>
          <w:sz w:val="22"/>
          <w:szCs w:val="22"/>
        </w:rPr>
      </w:pPr>
      <w:r w:rsidRPr="004511B1">
        <w:rPr>
          <w:sz w:val="22"/>
          <w:szCs w:val="22"/>
        </w:rPr>
        <w:t xml:space="preserve">PCC L3 measurement delay requirement </w:t>
      </w:r>
    </w:p>
    <w:p w14:paraId="50465D39" w14:textId="77777777" w:rsidR="002C19E6" w:rsidRPr="004511B1" w:rsidRDefault="002C19E6" w:rsidP="00856E7F">
      <w:pPr>
        <w:pStyle w:val="ListParagraph"/>
        <w:numPr>
          <w:ilvl w:val="1"/>
          <w:numId w:val="7"/>
        </w:numPr>
        <w:rPr>
          <w:sz w:val="22"/>
          <w:szCs w:val="22"/>
        </w:rPr>
      </w:pPr>
      <w:r w:rsidRPr="004511B1">
        <w:rPr>
          <w:sz w:val="22"/>
          <w:szCs w:val="22"/>
        </w:rPr>
        <w:t xml:space="preserve">RLM requirement for PCell </w:t>
      </w:r>
    </w:p>
    <w:p w14:paraId="7A9C8FCE" w14:textId="151027A5" w:rsidR="002C19E6" w:rsidRPr="007279DD" w:rsidRDefault="00856E7F" w:rsidP="00856E7F">
      <w:pPr>
        <w:rPr>
          <w:b/>
          <w:bCs/>
        </w:rPr>
      </w:pPr>
      <w:r w:rsidRPr="004511B1">
        <w:rPr>
          <w:b/>
          <w:bCs/>
          <w:sz w:val="22"/>
          <w:szCs w:val="22"/>
        </w:rPr>
        <w:t>Test configurations:</w:t>
      </w:r>
    </w:p>
    <w:p w14:paraId="5F9E200D" w14:textId="6677CF2B" w:rsidR="00856E7F" w:rsidRPr="004511B1" w:rsidRDefault="00052D86" w:rsidP="00856E7F">
      <w:pPr>
        <w:rPr>
          <w:sz w:val="22"/>
          <w:szCs w:val="22"/>
        </w:rPr>
      </w:pPr>
      <w:r w:rsidRPr="004511B1">
        <w:rPr>
          <w:sz w:val="22"/>
          <w:szCs w:val="22"/>
        </w:rPr>
        <w:t xml:space="preserve">Based on the WID description, we can </w:t>
      </w:r>
      <w:r w:rsidR="00A6293E" w:rsidRPr="004511B1">
        <w:rPr>
          <w:sz w:val="22"/>
          <w:szCs w:val="22"/>
        </w:rPr>
        <w:t>derive the following test configuration</w:t>
      </w:r>
    </w:p>
    <w:p w14:paraId="0D408B7A" w14:textId="1C479A5E" w:rsidR="00A6293E" w:rsidRPr="004511B1" w:rsidRDefault="00A6293E" w:rsidP="00E85613">
      <w:pPr>
        <w:pStyle w:val="B2"/>
        <w:ind w:left="284"/>
        <w:rPr>
          <w:sz w:val="22"/>
          <w:szCs w:val="22"/>
        </w:rPr>
      </w:pPr>
      <w:r w:rsidRPr="004511B1">
        <w:rPr>
          <w:sz w:val="22"/>
          <w:szCs w:val="22"/>
        </w:rPr>
        <w:t>-</w:t>
      </w:r>
      <w:r w:rsidRPr="004511B1">
        <w:rPr>
          <w:sz w:val="22"/>
          <w:szCs w:val="22"/>
        </w:rPr>
        <w:tab/>
        <w:t xml:space="preserve">The </w:t>
      </w:r>
      <w:r w:rsidR="00FA20D9" w:rsidRPr="004511B1">
        <w:rPr>
          <w:sz w:val="22"/>
          <w:szCs w:val="22"/>
        </w:rPr>
        <w:t>cell 1 is on n5 and cell 2 is on n29</w:t>
      </w:r>
      <w:r w:rsidRPr="004511B1">
        <w:rPr>
          <w:sz w:val="22"/>
          <w:szCs w:val="22"/>
        </w:rPr>
        <w:t xml:space="preserve"> </w:t>
      </w:r>
    </w:p>
    <w:p w14:paraId="00338477" w14:textId="0B646CC4" w:rsidR="00A6293E" w:rsidRPr="004511B1" w:rsidRDefault="00A6293E" w:rsidP="00E85613">
      <w:pPr>
        <w:pStyle w:val="B2"/>
        <w:ind w:left="284"/>
        <w:rPr>
          <w:sz w:val="22"/>
          <w:szCs w:val="22"/>
        </w:rPr>
      </w:pPr>
      <w:r w:rsidRPr="004511B1">
        <w:rPr>
          <w:sz w:val="22"/>
          <w:szCs w:val="22"/>
        </w:rPr>
        <w:t>-</w:t>
      </w:r>
      <w:r w:rsidRPr="004511B1">
        <w:rPr>
          <w:sz w:val="22"/>
          <w:szCs w:val="22"/>
        </w:rPr>
        <w:tab/>
      </w:r>
      <w:r w:rsidR="00180B97" w:rsidRPr="004511B1">
        <w:rPr>
          <w:sz w:val="22"/>
          <w:szCs w:val="22"/>
        </w:rPr>
        <w:t xml:space="preserve">MRTD = 3µs </w:t>
      </w:r>
    </w:p>
    <w:p w14:paraId="1B76303D" w14:textId="0ADF1847" w:rsidR="009D05C7" w:rsidRPr="004511B1" w:rsidRDefault="00A6293E" w:rsidP="009D05C7">
      <w:pPr>
        <w:pStyle w:val="B2"/>
        <w:ind w:left="284"/>
        <w:rPr>
          <w:sz w:val="22"/>
          <w:szCs w:val="22"/>
        </w:rPr>
      </w:pPr>
      <w:r w:rsidRPr="004511B1">
        <w:rPr>
          <w:sz w:val="22"/>
          <w:szCs w:val="22"/>
        </w:rPr>
        <w:t>-</w:t>
      </w:r>
      <w:r w:rsidRPr="004511B1">
        <w:rPr>
          <w:sz w:val="22"/>
          <w:szCs w:val="22"/>
        </w:rPr>
        <w:tab/>
        <w:t>SCS 15KHz on both carriers</w:t>
      </w:r>
    </w:p>
    <w:p w14:paraId="762D8947" w14:textId="1BDF49D0" w:rsidR="0051173F" w:rsidRDefault="00DA0F6B" w:rsidP="00DA0F6B">
      <w:pPr>
        <w:pStyle w:val="Heading2"/>
        <w:rPr>
          <w:lang w:val="en-US"/>
        </w:rPr>
      </w:pPr>
      <w:r>
        <w:rPr>
          <w:lang w:val="en-US"/>
        </w:rPr>
        <w:lastRenderedPageBreak/>
        <w:t>2.x</w:t>
      </w:r>
      <w:r>
        <w:rPr>
          <w:lang w:val="en-US"/>
        </w:rPr>
        <w:tab/>
        <w:t>Timing</w:t>
      </w:r>
    </w:p>
    <w:p w14:paraId="30059D07" w14:textId="0977F643" w:rsidR="00DA0F6B" w:rsidRPr="004511B1" w:rsidRDefault="00DA0F6B" w:rsidP="00DA0F6B">
      <w:pPr>
        <w:rPr>
          <w:sz w:val="22"/>
          <w:szCs w:val="22"/>
          <w:lang w:val="en-US"/>
        </w:rPr>
      </w:pPr>
      <w:r w:rsidRPr="004511B1">
        <w:rPr>
          <w:sz w:val="22"/>
          <w:szCs w:val="22"/>
          <w:lang w:val="en-US"/>
        </w:rPr>
        <w:t>In existing RRM specification TS 38.133 baseline we have the following tests:</w:t>
      </w:r>
    </w:p>
    <w:tbl>
      <w:tblPr>
        <w:tblStyle w:val="TableGrid"/>
        <w:tblW w:w="0" w:type="auto"/>
        <w:tblLook w:val="04A0" w:firstRow="1" w:lastRow="0" w:firstColumn="1" w:lastColumn="0" w:noHBand="0" w:noVBand="1"/>
      </w:tblPr>
      <w:tblGrid>
        <w:gridCol w:w="9631"/>
      </w:tblGrid>
      <w:tr w:rsidR="00356B24" w14:paraId="49BBAA67" w14:textId="77777777">
        <w:tc>
          <w:tcPr>
            <w:tcW w:w="9631" w:type="dxa"/>
          </w:tcPr>
          <w:p w14:paraId="4EED7F42" w14:textId="77777777" w:rsidR="00356B24" w:rsidRDefault="00356B24" w:rsidP="00356B24">
            <w:pPr>
              <w:rPr>
                <w:lang w:val="en-US"/>
              </w:rPr>
            </w:pPr>
            <w:r>
              <w:rPr>
                <w:lang w:val="en-US"/>
              </w:rPr>
              <w:t>…</w:t>
            </w:r>
          </w:p>
          <w:p w14:paraId="4B519029" w14:textId="274CF8B2" w:rsidR="00356B24" w:rsidRPr="00EA41E4" w:rsidRDefault="00356B24" w:rsidP="00356B24">
            <w:pPr>
              <w:rPr>
                <w:lang w:val="en-US"/>
              </w:rPr>
            </w:pPr>
            <w:r w:rsidRPr="0094395F">
              <w:rPr>
                <w:lang w:val="en-US"/>
              </w:rPr>
              <w:t>A.6</w:t>
            </w:r>
            <w:r w:rsidRPr="0094395F">
              <w:rPr>
                <w:lang w:val="en-US"/>
              </w:rPr>
              <w:tab/>
            </w:r>
            <w:bookmarkStart w:id="3" w:name="_Hlk205396228"/>
            <w:r w:rsidRPr="0094395F">
              <w:rPr>
                <w:lang w:val="en-US"/>
              </w:rPr>
              <w:t>NR standalone tests with all NR cells in FR1</w:t>
            </w:r>
            <w:bookmarkEnd w:id="3"/>
            <w:r>
              <w:rPr>
                <w:lang w:val="en-US"/>
              </w:rPr>
              <w:br/>
              <w:t>…</w:t>
            </w:r>
            <w:r>
              <w:rPr>
                <w:lang w:val="en-US"/>
              </w:rPr>
              <w:br/>
            </w:r>
            <w:r>
              <w:t>A.6.4</w:t>
            </w:r>
            <w:r>
              <w:rPr>
                <w:rFonts w:asciiTheme="minorHAnsi" w:eastAsiaTheme="minorEastAsia" w:hAnsiTheme="minorHAnsi" w:cstheme="minorBidi"/>
                <w:kern w:val="2"/>
                <w:sz w:val="24"/>
                <w:szCs w:val="24"/>
                <w:lang w:eastAsia="en-GB"/>
                <w14:ligatures w14:val="standardContextual"/>
              </w:rPr>
              <w:tab/>
            </w:r>
            <w:r>
              <w:t>Timing</w:t>
            </w:r>
            <w:r>
              <w:br/>
              <w:t>A.6.4.1</w:t>
            </w:r>
            <w:r>
              <w:rPr>
                <w:rFonts w:asciiTheme="minorHAnsi" w:eastAsiaTheme="minorEastAsia" w:hAnsiTheme="minorHAnsi" w:cstheme="minorBidi"/>
                <w:kern w:val="2"/>
                <w:sz w:val="24"/>
                <w:szCs w:val="24"/>
                <w:lang w:eastAsia="en-GB"/>
                <w14:ligatures w14:val="standardContextual"/>
              </w:rPr>
              <w:tab/>
            </w:r>
            <w:r>
              <w:t>UE transmit timing</w:t>
            </w:r>
            <w:r>
              <w:br/>
              <w:t>A.6.4.1.1</w:t>
            </w:r>
            <w:r>
              <w:rPr>
                <w:rFonts w:asciiTheme="minorHAnsi" w:eastAsiaTheme="minorEastAsia" w:hAnsiTheme="minorHAnsi" w:cstheme="minorBidi"/>
                <w:kern w:val="2"/>
                <w:sz w:val="24"/>
                <w:szCs w:val="24"/>
                <w:lang w:eastAsia="en-GB"/>
                <w14:ligatures w14:val="standardContextual"/>
              </w:rPr>
              <w:tab/>
            </w:r>
            <w:r>
              <w:t>NR UE Transmit Timing Test for FR1</w:t>
            </w:r>
            <w:r>
              <w:br/>
              <w:t>A.6.4.1.2</w:t>
            </w:r>
            <w:r>
              <w:rPr>
                <w:rFonts w:asciiTheme="minorHAnsi" w:eastAsiaTheme="minorEastAsia" w:hAnsiTheme="minorHAnsi" w:cstheme="minorBidi"/>
                <w:kern w:val="2"/>
                <w:sz w:val="24"/>
                <w:szCs w:val="24"/>
                <w:lang w:eastAsia="en-GB"/>
                <w14:ligatures w14:val="standardContextual"/>
              </w:rPr>
              <w:tab/>
            </w:r>
            <w:r>
              <w:t>NR UE Transmit Timing Test for two TRPs in FR1</w:t>
            </w:r>
            <w:r>
              <w:br/>
              <w:t>…</w:t>
            </w:r>
            <w:r>
              <w:br/>
              <w:t>A.6.4.2</w:t>
            </w:r>
            <w:r>
              <w:rPr>
                <w:rFonts w:asciiTheme="minorHAnsi" w:eastAsiaTheme="minorEastAsia" w:hAnsiTheme="minorHAnsi" w:cstheme="minorBidi"/>
                <w:kern w:val="2"/>
                <w:sz w:val="24"/>
                <w:szCs w:val="24"/>
                <w:lang w:eastAsia="en-GB"/>
                <w14:ligatures w14:val="standardContextual"/>
              </w:rPr>
              <w:tab/>
            </w:r>
            <w:r>
              <w:t>UE timer accuracy</w:t>
            </w:r>
            <w:r>
              <w:br/>
              <w:t>…</w:t>
            </w:r>
            <w:r>
              <w:br/>
              <w:t>A.6.4.3</w:t>
            </w:r>
            <w:r>
              <w:rPr>
                <w:rFonts w:asciiTheme="minorHAnsi" w:eastAsiaTheme="minorEastAsia" w:hAnsiTheme="minorHAnsi" w:cstheme="minorBidi"/>
                <w:kern w:val="2"/>
                <w:sz w:val="24"/>
                <w:szCs w:val="24"/>
                <w:lang w:eastAsia="en-GB"/>
                <w14:ligatures w14:val="standardContextual"/>
              </w:rPr>
              <w:tab/>
            </w:r>
            <w:r>
              <w:t>Timing advance</w:t>
            </w:r>
            <w:r>
              <w:br/>
              <w:t>…</w:t>
            </w:r>
            <w:r>
              <w:br/>
              <w:t>A.6.4.3.1</w:t>
            </w:r>
            <w:r>
              <w:rPr>
                <w:rFonts w:asciiTheme="minorHAnsi" w:eastAsiaTheme="minorEastAsia" w:hAnsiTheme="minorHAnsi" w:cstheme="minorBidi"/>
                <w:kern w:val="2"/>
                <w:sz w:val="24"/>
                <w:szCs w:val="24"/>
                <w:lang w:eastAsia="en-GB"/>
                <w14:ligatures w14:val="standardContextual"/>
              </w:rPr>
              <w:tab/>
            </w:r>
            <w:r>
              <w:t>SA FR1 timing advance adjustment accuracy</w:t>
            </w:r>
          </w:p>
          <w:p w14:paraId="37B8DB23" w14:textId="67727A8A" w:rsidR="00356B24" w:rsidRDefault="00356B24" w:rsidP="00DA0F6B">
            <w:pPr>
              <w:rPr>
                <w:lang w:val="en-US"/>
              </w:rPr>
            </w:pPr>
            <w:r>
              <w:rPr>
                <w:lang w:val="en-US"/>
              </w:rPr>
              <w:t>…</w:t>
            </w:r>
          </w:p>
        </w:tc>
      </w:tr>
    </w:tbl>
    <w:p w14:paraId="224300F5" w14:textId="77777777" w:rsidR="00BC2DDC" w:rsidRDefault="00BC2DDC" w:rsidP="00356B24">
      <w:pPr>
        <w:pStyle w:val="TOC4"/>
        <w:ind w:left="0" w:firstLine="0"/>
      </w:pPr>
    </w:p>
    <w:p w14:paraId="310A8F9B" w14:textId="2C656412" w:rsidR="00BC2DDC" w:rsidRPr="004511B1" w:rsidRDefault="00E81A5C" w:rsidP="00BC2DDC">
      <w:pPr>
        <w:rPr>
          <w:rFonts w:eastAsiaTheme="minorEastAsia"/>
          <w:sz w:val="22"/>
          <w:szCs w:val="22"/>
          <w:lang w:eastAsia="en-GB"/>
        </w:rPr>
      </w:pPr>
      <w:r w:rsidRPr="004511B1">
        <w:rPr>
          <w:rFonts w:eastAsiaTheme="minorEastAsia"/>
          <w:sz w:val="22"/>
          <w:szCs w:val="22"/>
          <w:lang w:eastAsia="en-GB"/>
        </w:rPr>
        <w:t xml:space="preserve">The WI </w:t>
      </w:r>
      <w:r w:rsidR="005225C4" w:rsidRPr="004511B1">
        <w:rPr>
          <w:rFonts w:eastAsiaTheme="minorEastAsia"/>
          <w:sz w:val="22"/>
          <w:szCs w:val="22"/>
          <w:lang w:eastAsia="en-GB"/>
        </w:rPr>
        <w:t xml:space="preserve">for </w:t>
      </w:r>
      <w:bookmarkStart w:id="4" w:name="_Hlk205396206"/>
      <w:r w:rsidR="005225C4" w:rsidRPr="004511B1">
        <w:rPr>
          <w:rFonts w:eastAsiaTheme="minorEastAsia"/>
          <w:sz w:val="22"/>
          <w:szCs w:val="22"/>
          <w:lang w:eastAsia="en-GB"/>
        </w:rPr>
        <w:t>low band carrier aggregation via switching</w:t>
      </w:r>
      <w:r w:rsidR="00665260" w:rsidRPr="004511B1">
        <w:rPr>
          <w:rFonts w:eastAsiaTheme="minorEastAsia"/>
          <w:sz w:val="22"/>
          <w:szCs w:val="22"/>
          <w:lang w:eastAsia="en-GB"/>
        </w:rPr>
        <w:t xml:space="preserve"> </w:t>
      </w:r>
      <w:bookmarkEnd w:id="4"/>
      <w:r w:rsidR="00665260" w:rsidRPr="004511B1">
        <w:rPr>
          <w:rFonts w:eastAsiaTheme="minorEastAsia"/>
          <w:sz w:val="22"/>
          <w:szCs w:val="22"/>
          <w:lang w:eastAsia="en-GB"/>
        </w:rPr>
        <w:t>has the following deployment considerations</w:t>
      </w:r>
      <w:r w:rsidR="00172447" w:rsidRPr="004511B1">
        <w:rPr>
          <w:rFonts w:eastAsiaTheme="minorEastAsia"/>
          <w:sz w:val="22"/>
          <w:szCs w:val="22"/>
          <w:lang w:eastAsia="en-GB"/>
        </w:rPr>
        <w:t xml:space="preserve"> [1]:</w:t>
      </w:r>
    </w:p>
    <w:tbl>
      <w:tblPr>
        <w:tblStyle w:val="TableGrid"/>
        <w:tblW w:w="0" w:type="auto"/>
        <w:tblLook w:val="04A0" w:firstRow="1" w:lastRow="0" w:firstColumn="1" w:lastColumn="0" w:noHBand="0" w:noVBand="1"/>
      </w:tblPr>
      <w:tblGrid>
        <w:gridCol w:w="9631"/>
      </w:tblGrid>
      <w:tr w:rsidR="00356B24" w14:paraId="07323717" w14:textId="77777777">
        <w:tc>
          <w:tcPr>
            <w:tcW w:w="9631" w:type="dxa"/>
          </w:tcPr>
          <w:p w14:paraId="0759008E" w14:textId="77777777" w:rsidR="00356B24" w:rsidRDefault="00356B24" w:rsidP="00BC2DDC">
            <w:pPr>
              <w:rPr>
                <w:rFonts w:eastAsiaTheme="minorEastAsia"/>
                <w:lang w:eastAsia="en-GB"/>
              </w:rPr>
            </w:pPr>
            <w:r>
              <w:rPr>
                <w:rFonts w:eastAsiaTheme="minorEastAsia"/>
                <w:lang w:eastAsia="en-GB"/>
              </w:rPr>
              <w:t>…</w:t>
            </w:r>
          </w:p>
          <w:p w14:paraId="3BDA888E" w14:textId="77777777" w:rsidR="00356B24" w:rsidRPr="008064A7" w:rsidRDefault="00356B24" w:rsidP="00356B24">
            <w:pPr>
              <w:ind w:left="284"/>
              <w:rPr>
                <w:rFonts w:eastAsiaTheme="minorEastAsia"/>
                <w:lang w:eastAsia="en-GB"/>
              </w:rPr>
            </w:pPr>
            <w:r w:rsidRPr="008064A7">
              <w:rPr>
                <w:rFonts w:eastAsiaTheme="minorEastAsia"/>
                <w:lang w:eastAsia="en-GB"/>
              </w:rPr>
              <w:t>-</w:t>
            </w:r>
            <w:r w:rsidRPr="008064A7">
              <w:rPr>
                <w:rFonts w:eastAsiaTheme="minorEastAsia"/>
                <w:lang w:eastAsia="en-GB"/>
              </w:rPr>
              <w:tab/>
              <w:t>The carrier frequency for all cases is &lt;1 GHz</w:t>
            </w:r>
          </w:p>
          <w:p w14:paraId="49B58E4C" w14:textId="77777777" w:rsidR="00356B24" w:rsidRPr="008064A7" w:rsidRDefault="00356B24" w:rsidP="00356B24">
            <w:pPr>
              <w:ind w:left="284"/>
              <w:rPr>
                <w:rFonts w:eastAsiaTheme="minorEastAsia"/>
                <w:lang w:eastAsia="en-GB"/>
              </w:rPr>
            </w:pPr>
            <w:r w:rsidRPr="008064A7">
              <w:rPr>
                <w:rFonts w:eastAsiaTheme="minorEastAsia"/>
                <w:lang w:eastAsia="en-GB"/>
              </w:rPr>
              <w:t>-</w:t>
            </w:r>
            <w:r w:rsidRPr="008064A7">
              <w:rPr>
                <w:rFonts w:eastAsiaTheme="minorEastAsia"/>
                <w:lang w:eastAsia="en-GB"/>
              </w:rPr>
              <w:tab/>
              <w:t>Co-located and synchronized network deployment for both carriers</w:t>
            </w:r>
          </w:p>
          <w:p w14:paraId="5520C3DD" w14:textId="77777777" w:rsidR="00356B24" w:rsidRPr="008064A7" w:rsidRDefault="00356B24" w:rsidP="00356B24">
            <w:pPr>
              <w:ind w:left="284"/>
              <w:rPr>
                <w:rFonts w:eastAsiaTheme="minorEastAsia"/>
                <w:lang w:eastAsia="en-GB"/>
              </w:rPr>
            </w:pPr>
            <w:r w:rsidRPr="008064A7">
              <w:rPr>
                <w:rFonts w:eastAsiaTheme="minorEastAsia"/>
                <w:lang w:eastAsia="en-GB"/>
              </w:rPr>
              <w:t>-</w:t>
            </w:r>
            <w:r w:rsidRPr="008064A7">
              <w:rPr>
                <w:rFonts w:eastAsiaTheme="minorEastAsia"/>
                <w:lang w:eastAsia="en-GB"/>
              </w:rPr>
              <w:tab/>
              <w:t>Both carriers are in a single TAG</w:t>
            </w:r>
          </w:p>
          <w:p w14:paraId="6506CF59" w14:textId="77777777" w:rsidR="00356B24" w:rsidRDefault="00356B24" w:rsidP="00356B24">
            <w:pPr>
              <w:ind w:left="284"/>
              <w:rPr>
                <w:rFonts w:eastAsiaTheme="minorEastAsia"/>
                <w:lang w:eastAsia="en-GB"/>
              </w:rPr>
            </w:pPr>
            <w:r w:rsidRPr="008064A7">
              <w:rPr>
                <w:rFonts w:eastAsiaTheme="minorEastAsia"/>
                <w:lang w:eastAsia="en-GB"/>
              </w:rPr>
              <w:t>-</w:t>
            </w:r>
            <w:r w:rsidRPr="008064A7">
              <w:rPr>
                <w:rFonts w:eastAsiaTheme="minorEastAsia"/>
                <w:lang w:eastAsia="en-GB"/>
              </w:rPr>
              <w:tab/>
              <w:t>SCS 15KHz on both carriers</w:t>
            </w:r>
          </w:p>
          <w:p w14:paraId="5C356360" w14:textId="1B1DBE86" w:rsidR="00356B24" w:rsidRDefault="00356B24" w:rsidP="00BC2DDC">
            <w:pPr>
              <w:rPr>
                <w:rFonts w:eastAsiaTheme="minorEastAsia"/>
                <w:lang w:eastAsia="en-GB"/>
              </w:rPr>
            </w:pPr>
            <w:r>
              <w:rPr>
                <w:rFonts w:eastAsiaTheme="minorEastAsia"/>
                <w:lang w:eastAsia="en-GB"/>
              </w:rPr>
              <w:t>…</w:t>
            </w:r>
          </w:p>
        </w:tc>
      </w:tr>
    </w:tbl>
    <w:p w14:paraId="63925F01" w14:textId="5B7056CE" w:rsidR="00172447" w:rsidRPr="004511B1" w:rsidRDefault="00356B24" w:rsidP="00172447">
      <w:pPr>
        <w:rPr>
          <w:rFonts w:eastAsiaTheme="minorEastAsia"/>
          <w:sz w:val="22"/>
          <w:szCs w:val="22"/>
          <w:lang w:eastAsia="en-GB"/>
        </w:rPr>
      </w:pPr>
      <w:r>
        <w:rPr>
          <w:rFonts w:eastAsiaTheme="minorEastAsia"/>
          <w:lang w:eastAsia="en-GB"/>
        </w:rPr>
        <w:br/>
      </w:r>
      <w:r w:rsidR="00271083" w:rsidRPr="004511B1">
        <w:rPr>
          <w:rFonts w:eastAsiaTheme="minorEastAsia"/>
          <w:sz w:val="22"/>
          <w:szCs w:val="22"/>
          <w:lang w:eastAsia="en-GB"/>
        </w:rPr>
        <w:t>Based on this one can view low band carrier aggregation via switching as an instantiation of NR standalone tests with all NR cells in FR1</w:t>
      </w:r>
      <w:r w:rsidR="003E6D37" w:rsidRPr="004511B1">
        <w:rPr>
          <w:rFonts w:eastAsiaTheme="minorEastAsia"/>
          <w:sz w:val="22"/>
          <w:szCs w:val="22"/>
          <w:lang w:eastAsia="en-GB"/>
        </w:rPr>
        <w:t xml:space="preserve">, </w:t>
      </w:r>
      <w:r w:rsidR="00430D61" w:rsidRPr="004511B1">
        <w:rPr>
          <w:rFonts w:eastAsiaTheme="minorEastAsia"/>
          <w:sz w:val="22"/>
          <w:szCs w:val="22"/>
          <w:lang w:eastAsia="en-GB"/>
        </w:rPr>
        <w:t>when it comes to</w:t>
      </w:r>
      <w:r w:rsidR="003E6D37" w:rsidRPr="004511B1">
        <w:rPr>
          <w:rFonts w:eastAsiaTheme="minorEastAsia"/>
          <w:sz w:val="22"/>
          <w:szCs w:val="22"/>
          <w:lang w:eastAsia="en-GB"/>
        </w:rPr>
        <w:t xml:space="preserve"> </w:t>
      </w:r>
      <w:r w:rsidR="00071F61" w:rsidRPr="004511B1">
        <w:rPr>
          <w:rFonts w:eastAsiaTheme="minorEastAsia"/>
          <w:sz w:val="22"/>
          <w:szCs w:val="22"/>
          <w:lang w:eastAsia="en-GB"/>
        </w:rPr>
        <w:t>RRM timing performance requirements.</w:t>
      </w:r>
    </w:p>
    <w:p w14:paraId="3477E923" w14:textId="79A06D50" w:rsidR="00951A7A" w:rsidRPr="004511B1" w:rsidRDefault="00951A7A" w:rsidP="00403E1E">
      <w:pPr>
        <w:ind w:left="1418" w:hanging="1418"/>
        <w:rPr>
          <w:rFonts w:eastAsiaTheme="minorEastAsia"/>
          <w:b/>
          <w:bCs/>
          <w:sz w:val="22"/>
          <w:szCs w:val="22"/>
          <w:lang w:eastAsia="en-GB"/>
        </w:rPr>
      </w:pPr>
      <w:r w:rsidRPr="004511B1">
        <w:rPr>
          <w:rFonts w:eastAsiaTheme="minorEastAsia"/>
          <w:b/>
          <w:bCs/>
          <w:sz w:val="22"/>
          <w:szCs w:val="22"/>
          <w:lang w:eastAsia="en-GB"/>
        </w:rPr>
        <w:t xml:space="preserve">Observation </w:t>
      </w:r>
      <w:r w:rsidR="00444FA3" w:rsidRPr="004511B1">
        <w:rPr>
          <w:rFonts w:eastAsiaTheme="minorEastAsia"/>
          <w:b/>
          <w:bCs/>
          <w:sz w:val="22"/>
          <w:szCs w:val="22"/>
          <w:lang w:eastAsia="en-GB"/>
        </w:rPr>
        <w:t>1</w:t>
      </w:r>
      <w:r w:rsidRPr="004511B1">
        <w:rPr>
          <w:rFonts w:eastAsiaTheme="minorEastAsia"/>
          <w:b/>
          <w:bCs/>
          <w:sz w:val="22"/>
          <w:szCs w:val="22"/>
          <w:lang w:eastAsia="en-GB"/>
        </w:rPr>
        <w:t>:</w:t>
      </w:r>
      <w:r w:rsidR="00403E1E" w:rsidRPr="004511B1">
        <w:rPr>
          <w:rFonts w:eastAsiaTheme="minorEastAsia"/>
          <w:b/>
          <w:bCs/>
          <w:sz w:val="22"/>
          <w:szCs w:val="22"/>
          <w:lang w:eastAsia="en-GB"/>
        </w:rPr>
        <w:tab/>
      </w:r>
      <w:r w:rsidR="004511B1">
        <w:rPr>
          <w:rFonts w:eastAsiaTheme="minorEastAsia"/>
          <w:b/>
          <w:bCs/>
          <w:sz w:val="22"/>
          <w:szCs w:val="22"/>
          <w:lang w:eastAsia="en-GB"/>
        </w:rPr>
        <w:t xml:space="preserve"> </w:t>
      </w:r>
      <w:r w:rsidRPr="004511B1">
        <w:rPr>
          <w:rFonts w:eastAsiaTheme="minorEastAsia"/>
          <w:b/>
          <w:bCs/>
          <w:sz w:val="22"/>
          <w:szCs w:val="22"/>
          <w:lang w:eastAsia="en-GB"/>
        </w:rPr>
        <w:t>Low band carrier aggregation via switching as an instantiation of NR standalone tests with all NR cells in FR1.</w:t>
      </w:r>
    </w:p>
    <w:p w14:paraId="3941633D" w14:textId="3C064BAD" w:rsidR="00951A7A" w:rsidRPr="004511B1" w:rsidRDefault="00951A7A" w:rsidP="00356B24">
      <w:pPr>
        <w:ind w:left="1134" w:hanging="1134"/>
        <w:rPr>
          <w:rFonts w:eastAsiaTheme="minorEastAsia"/>
          <w:b/>
          <w:bCs/>
          <w:sz w:val="22"/>
          <w:szCs w:val="22"/>
          <w:lang w:eastAsia="en-GB"/>
        </w:rPr>
      </w:pPr>
      <w:r w:rsidRPr="004511B1">
        <w:rPr>
          <w:rFonts w:eastAsiaTheme="minorEastAsia"/>
          <w:b/>
          <w:bCs/>
          <w:sz w:val="22"/>
          <w:szCs w:val="22"/>
          <w:lang w:eastAsia="en-GB"/>
        </w:rPr>
        <w:t xml:space="preserve">Proposal </w:t>
      </w:r>
      <w:r w:rsidR="007F602A" w:rsidRPr="004511B1">
        <w:rPr>
          <w:rFonts w:eastAsiaTheme="minorEastAsia"/>
          <w:b/>
          <w:bCs/>
          <w:sz w:val="22"/>
          <w:szCs w:val="22"/>
          <w:lang w:eastAsia="en-GB"/>
        </w:rPr>
        <w:t>2</w:t>
      </w:r>
      <w:r w:rsidRPr="004511B1">
        <w:rPr>
          <w:rFonts w:eastAsiaTheme="minorEastAsia"/>
          <w:b/>
          <w:bCs/>
          <w:sz w:val="22"/>
          <w:szCs w:val="22"/>
          <w:lang w:eastAsia="en-GB"/>
        </w:rPr>
        <w:t xml:space="preserve">: </w:t>
      </w:r>
      <w:r w:rsidR="00DF7E0E" w:rsidRPr="004511B1">
        <w:rPr>
          <w:rFonts w:eastAsiaTheme="minorEastAsia"/>
          <w:b/>
          <w:bCs/>
          <w:sz w:val="22"/>
          <w:szCs w:val="22"/>
          <w:lang w:eastAsia="en-GB"/>
        </w:rPr>
        <w:t xml:space="preserve">For timing </w:t>
      </w:r>
      <w:r w:rsidR="00F737E2" w:rsidRPr="004511B1">
        <w:rPr>
          <w:rFonts w:eastAsiaTheme="minorEastAsia"/>
          <w:b/>
          <w:bCs/>
          <w:sz w:val="22"/>
          <w:szCs w:val="22"/>
          <w:lang w:eastAsia="en-GB"/>
        </w:rPr>
        <w:t>test cases</w:t>
      </w:r>
      <w:r w:rsidR="00DF7E0E" w:rsidRPr="004511B1">
        <w:rPr>
          <w:rFonts w:eastAsiaTheme="minorEastAsia"/>
          <w:b/>
          <w:bCs/>
          <w:sz w:val="22"/>
          <w:szCs w:val="22"/>
          <w:lang w:eastAsia="en-GB"/>
        </w:rPr>
        <w:t>, e</w:t>
      </w:r>
      <w:r w:rsidR="00525252" w:rsidRPr="004511B1">
        <w:rPr>
          <w:rFonts w:eastAsiaTheme="minorEastAsia"/>
          <w:b/>
          <w:bCs/>
          <w:sz w:val="22"/>
          <w:szCs w:val="22"/>
          <w:lang w:eastAsia="en-GB"/>
        </w:rPr>
        <w:t>xisting NR standalone tests with all NR cells in FR1</w:t>
      </w:r>
      <w:r w:rsidR="003E6D37" w:rsidRPr="004511B1">
        <w:rPr>
          <w:rFonts w:eastAsiaTheme="minorEastAsia"/>
          <w:b/>
          <w:bCs/>
          <w:sz w:val="22"/>
          <w:szCs w:val="22"/>
          <w:lang w:eastAsia="en-GB"/>
        </w:rPr>
        <w:t xml:space="preserve"> are </w:t>
      </w:r>
      <w:r w:rsidR="00865A22" w:rsidRPr="004511B1">
        <w:rPr>
          <w:rFonts w:eastAsiaTheme="minorEastAsia"/>
          <w:b/>
          <w:bCs/>
          <w:sz w:val="22"/>
          <w:szCs w:val="22"/>
          <w:lang w:eastAsia="en-GB"/>
        </w:rPr>
        <w:t>sufficient to cover also Low band carrier aggregation via switching</w:t>
      </w:r>
      <w:r w:rsidR="001B5419" w:rsidRPr="004511B1">
        <w:rPr>
          <w:rFonts w:eastAsiaTheme="minorEastAsia"/>
          <w:b/>
          <w:bCs/>
          <w:sz w:val="22"/>
          <w:szCs w:val="22"/>
          <w:lang w:eastAsia="en-GB"/>
        </w:rPr>
        <w:t>.</w:t>
      </w:r>
    </w:p>
    <w:p w14:paraId="7DE08BE8" w14:textId="5FF20DC2" w:rsidR="00B93FB3" w:rsidRDefault="00E7470F" w:rsidP="00B93FB3">
      <w:pPr>
        <w:pStyle w:val="Heading1"/>
        <w:rPr>
          <w:lang w:val="en-US"/>
        </w:rPr>
      </w:pPr>
      <w:r>
        <w:rPr>
          <w:lang w:val="en-US"/>
        </w:rPr>
        <w:t xml:space="preserve">3 </w:t>
      </w:r>
      <w:r>
        <w:rPr>
          <w:lang w:val="en-US"/>
        </w:rPr>
        <w:tab/>
      </w:r>
      <w:r w:rsidR="00B93FB3">
        <w:rPr>
          <w:lang w:val="en-US"/>
        </w:rPr>
        <w:t>Summary</w:t>
      </w:r>
    </w:p>
    <w:p w14:paraId="1E19692B" w14:textId="198A23E3" w:rsidR="00B71924" w:rsidRPr="00D31E1E" w:rsidRDefault="00B71924" w:rsidP="00B71924">
      <w:pPr>
        <w:rPr>
          <w:sz w:val="22"/>
          <w:szCs w:val="22"/>
          <w:lang w:val="en-US"/>
        </w:rPr>
      </w:pPr>
      <w:r w:rsidRPr="00D31E1E">
        <w:rPr>
          <w:sz w:val="22"/>
          <w:szCs w:val="22"/>
          <w:lang w:val="en-US"/>
        </w:rPr>
        <w:t xml:space="preserve">In this contribution we analyzed the performance requirements of </w:t>
      </w:r>
      <w:r w:rsidR="00D31E1E" w:rsidRPr="00D31E1E">
        <w:rPr>
          <w:sz w:val="22"/>
          <w:szCs w:val="22"/>
          <w:lang w:val="en-US"/>
        </w:rPr>
        <w:t>low-band</w:t>
      </w:r>
      <w:r w:rsidRPr="00D31E1E">
        <w:rPr>
          <w:sz w:val="22"/>
          <w:szCs w:val="22"/>
          <w:lang w:val="en-US"/>
        </w:rPr>
        <w:t xml:space="preserve"> CA via switching and made </w:t>
      </w:r>
      <w:r w:rsidR="00D31E1E" w:rsidRPr="00D31E1E">
        <w:rPr>
          <w:sz w:val="22"/>
          <w:szCs w:val="22"/>
          <w:lang w:val="en-US"/>
        </w:rPr>
        <w:t>the following</w:t>
      </w:r>
      <w:r w:rsidRPr="00D31E1E">
        <w:rPr>
          <w:sz w:val="22"/>
          <w:szCs w:val="22"/>
          <w:lang w:val="en-US"/>
        </w:rPr>
        <w:t xml:space="preserve"> </w:t>
      </w:r>
      <w:r w:rsidR="00D31E1E" w:rsidRPr="00D31E1E">
        <w:rPr>
          <w:sz w:val="22"/>
          <w:szCs w:val="22"/>
          <w:lang w:val="en-US"/>
        </w:rPr>
        <w:t>observations and proposals</w:t>
      </w:r>
      <w:r w:rsidRPr="00D31E1E">
        <w:rPr>
          <w:sz w:val="22"/>
          <w:szCs w:val="22"/>
          <w:lang w:val="en-US"/>
        </w:rPr>
        <w:t>.</w:t>
      </w:r>
    </w:p>
    <w:p w14:paraId="30D069A0" w14:textId="77777777" w:rsidR="00B71924" w:rsidRPr="00F66CB7" w:rsidRDefault="00B71924" w:rsidP="00BA29A7">
      <w:pPr>
        <w:pStyle w:val="ListParagraph"/>
        <w:numPr>
          <w:ilvl w:val="0"/>
          <w:numId w:val="9"/>
        </w:numPr>
        <w:rPr>
          <w:sz w:val="22"/>
          <w:szCs w:val="22"/>
        </w:rPr>
      </w:pPr>
      <w:r w:rsidRPr="00F66CB7">
        <w:rPr>
          <w:sz w:val="22"/>
          <w:szCs w:val="22"/>
        </w:rPr>
        <w:t>RAN4 to agree on defining following list of test cases for UE supporting low-band CA via switching</w:t>
      </w:r>
    </w:p>
    <w:p w14:paraId="4670E602" w14:textId="77777777" w:rsidR="00B71924" w:rsidRPr="00F66CB7" w:rsidRDefault="00B71924" w:rsidP="00B71924">
      <w:pPr>
        <w:pStyle w:val="ListParagraph"/>
        <w:numPr>
          <w:ilvl w:val="0"/>
          <w:numId w:val="6"/>
        </w:numPr>
        <w:ind w:left="1212"/>
        <w:rPr>
          <w:sz w:val="22"/>
          <w:szCs w:val="22"/>
        </w:rPr>
      </w:pPr>
      <w:r w:rsidRPr="00F66CB7">
        <w:rPr>
          <w:sz w:val="22"/>
          <w:szCs w:val="22"/>
        </w:rPr>
        <w:t>Activated SDL SCell L3 measurement</w:t>
      </w:r>
    </w:p>
    <w:p w14:paraId="7434AE1E" w14:textId="77777777" w:rsidR="00B71924" w:rsidRPr="00F66CB7" w:rsidRDefault="00B71924" w:rsidP="00B71924">
      <w:pPr>
        <w:pStyle w:val="ListParagraph"/>
        <w:numPr>
          <w:ilvl w:val="0"/>
          <w:numId w:val="6"/>
        </w:numPr>
        <w:ind w:left="1212"/>
        <w:rPr>
          <w:sz w:val="22"/>
          <w:szCs w:val="22"/>
        </w:rPr>
      </w:pPr>
      <w:r w:rsidRPr="00F66CB7">
        <w:rPr>
          <w:sz w:val="22"/>
          <w:szCs w:val="22"/>
        </w:rPr>
        <w:t>Deactivated SDL SCell measurement</w:t>
      </w:r>
    </w:p>
    <w:p w14:paraId="2408BB79" w14:textId="77777777" w:rsidR="00B71924" w:rsidRPr="00F66CB7" w:rsidRDefault="00B71924" w:rsidP="00B71924">
      <w:pPr>
        <w:pStyle w:val="ListParagraph"/>
        <w:numPr>
          <w:ilvl w:val="0"/>
          <w:numId w:val="6"/>
        </w:numPr>
        <w:ind w:left="1212"/>
        <w:rPr>
          <w:sz w:val="22"/>
          <w:szCs w:val="22"/>
        </w:rPr>
      </w:pPr>
      <w:r w:rsidRPr="00F66CB7">
        <w:rPr>
          <w:sz w:val="22"/>
          <w:szCs w:val="22"/>
        </w:rPr>
        <w:t>SDL SCell activation/deactivation delay and corresponding interruption</w:t>
      </w:r>
    </w:p>
    <w:p w14:paraId="7E0CCD1F" w14:textId="77777777" w:rsidR="00B71924" w:rsidRPr="00F66CB7" w:rsidRDefault="00B71924" w:rsidP="00B71924">
      <w:pPr>
        <w:pStyle w:val="ListParagraph"/>
        <w:numPr>
          <w:ilvl w:val="0"/>
          <w:numId w:val="7"/>
        </w:numPr>
        <w:ind w:left="1212"/>
        <w:rPr>
          <w:sz w:val="22"/>
          <w:szCs w:val="22"/>
        </w:rPr>
      </w:pPr>
      <w:r w:rsidRPr="00F66CB7">
        <w:rPr>
          <w:sz w:val="22"/>
          <w:szCs w:val="22"/>
        </w:rPr>
        <w:t>FFS:</w:t>
      </w:r>
    </w:p>
    <w:p w14:paraId="4C2618FE" w14:textId="77777777" w:rsidR="00B71924" w:rsidRPr="00F66CB7" w:rsidRDefault="00B71924" w:rsidP="00B71924">
      <w:pPr>
        <w:pStyle w:val="ListParagraph"/>
        <w:numPr>
          <w:ilvl w:val="1"/>
          <w:numId w:val="7"/>
        </w:numPr>
        <w:rPr>
          <w:sz w:val="22"/>
          <w:szCs w:val="22"/>
        </w:rPr>
      </w:pPr>
      <w:r w:rsidRPr="00F66CB7">
        <w:rPr>
          <w:sz w:val="22"/>
          <w:szCs w:val="22"/>
        </w:rPr>
        <w:t>Interruption for deactivated SDL SCell measurement</w:t>
      </w:r>
    </w:p>
    <w:p w14:paraId="6C99B67E" w14:textId="77777777" w:rsidR="00B71924" w:rsidRPr="00F66CB7" w:rsidRDefault="00B71924" w:rsidP="00B71924">
      <w:pPr>
        <w:pStyle w:val="ListParagraph"/>
        <w:numPr>
          <w:ilvl w:val="1"/>
          <w:numId w:val="7"/>
        </w:numPr>
        <w:rPr>
          <w:sz w:val="22"/>
          <w:szCs w:val="22"/>
        </w:rPr>
      </w:pPr>
      <w:r w:rsidRPr="00F66CB7">
        <w:rPr>
          <w:sz w:val="22"/>
          <w:szCs w:val="22"/>
        </w:rPr>
        <w:t xml:space="preserve">[BFD/CBD] for SDL SCell and PCell </w:t>
      </w:r>
    </w:p>
    <w:p w14:paraId="5FFAE107" w14:textId="77777777" w:rsidR="00B71924" w:rsidRPr="00F66CB7" w:rsidRDefault="00B71924" w:rsidP="00B71924">
      <w:pPr>
        <w:pStyle w:val="ListParagraph"/>
        <w:numPr>
          <w:ilvl w:val="1"/>
          <w:numId w:val="7"/>
        </w:numPr>
        <w:rPr>
          <w:sz w:val="22"/>
          <w:szCs w:val="22"/>
        </w:rPr>
      </w:pPr>
      <w:r w:rsidRPr="00F66CB7">
        <w:rPr>
          <w:sz w:val="22"/>
          <w:szCs w:val="22"/>
        </w:rPr>
        <w:t xml:space="preserve">TCI state switch delay for SDL SCell and PCell </w:t>
      </w:r>
    </w:p>
    <w:p w14:paraId="3697C10E" w14:textId="77777777" w:rsidR="00B71924" w:rsidRPr="00F66CB7" w:rsidRDefault="00B71924" w:rsidP="00B71924">
      <w:pPr>
        <w:pStyle w:val="ListParagraph"/>
        <w:numPr>
          <w:ilvl w:val="1"/>
          <w:numId w:val="7"/>
        </w:numPr>
        <w:rPr>
          <w:sz w:val="22"/>
          <w:szCs w:val="22"/>
        </w:rPr>
      </w:pPr>
      <w:r w:rsidRPr="00F66CB7">
        <w:rPr>
          <w:sz w:val="22"/>
          <w:szCs w:val="22"/>
        </w:rPr>
        <w:lastRenderedPageBreak/>
        <w:t xml:space="preserve">PL-RS switch delay for PCell </w:t>
      </w:r>
    </w:p>
    <w:p w14:paraId="76D6050F" w14:textId="77777777" w:rsidR="00B71924" w:rsidRPr="00F66CB7" w:rsidRDefault="00B71924" w:rsidP="00B71924">
      <w:pPr>
        <w:pStyle w:val="ListParagraph"/>
        <w:numPr>
          <w:ilvl w:val="1"/>
          <w:numId w:val="7"/>
        </w:numPr>
        <w:rPr>
          <w:sz w:val="22"/>
          <w:szCs w:val="22"/>
        </w:rPr>
      </w:pPr>
      <w:r w:rsidRPr="00F66CB7">
        <w:rPr>
          <w:sz w:val="22"/>
          <w:szCs w:val="22"/>
        </w:rPr>
        <w:t xml:space="preserve">L1-RSRP/SINR for SDL SCell and PCell </w:t>
      </w:r>
    </w:p>
    <w:p w14:paraId="0B8CFB86" w14:textId="77777777" w:rsidR="00B71924" w:rsidRPr="00F66CB7" w:rsidRDefault="00B71924" w:rsidP="00B71924">
      <w:pPr>
        <w:pStyle w:val="ListParagraph"/>
        <w:numPr>
          <w:ilvl w:val="1"/>
          <w:numId w:val="7"/>
        </w:numPr>
        <w:rPr>
          <w:sz w:val="22"/>
          <w:szCs w:val="22"/>
        </w:rPr>
      </w:pPr>
      <w:r w:rsidRPr="00F66CB7">
        <w:rPr>
          <w:sz w:val="22"/>
          <w:szCs w:val="22"/>
        </w:rPr>
        <w:t xml:space="preserve">PCC L3 measurement delay requirement </w:t>
      </w:r>
    </w:p>
    <w:p w14:paraId="3A9A0CE3" w14:textId="77777777" w:rsidR="00B71924" w:rsidRPr="00F66CB7" w:rsidRDefault="00B71924" w:rsidP="00B71924">
      <w:pPr>
        <w:pStyle w:val="ListParagraph"/>
        <w:numPr>
          <w:ilvl w:val="1"/>
          <w:numId w:val="7"/>
        </w:numPr>
        <w:rPr>
          <w:sz w:val="22"/>
          <w:szCs w:val="22"/>
        </w:rPr>
      </w:pPr>
      <w:r w:rsidRPr="00F66CB7">
        <w:rPr>
          <w:sz w:val="22"/>
          <w:szCs w:val="22"/>
        </w:rPr>
        <w:t xml:space="preserve">RLM requirement for PCell </w:t>
      </w:r>
    </w:p>
    <w:p w14:paraId="1373CBD6" w14:textId="38DF8E2E" w:rsidR="001B5419" w:rsidRPr="00B4533C" w:rsidRDefault="001B5419" w:rsidP="001B5419">
      <w:pPr>
        <w:ind w:left="1418" w:hanging="1418"/>
        <w:rPr>
          <w:rFonts w:eastAsiaTheme="minorEastAsia"/>
          <w:b/>
          <w:bCs/>
          <w:sz w:val="22"/>
          <w:szCs w:val="22"/>
          <w:lang w:eastAsia="en-GB"/>
        </w:rPr>
      </w:pPr>
      <w:r w:rsidRPr="00B4533C">
        <w:rPr>
          <w:rFonts w:eastAsiaTheme="minorEastAsia"/>
          <w:b/>
          <w:bCs/>
          <w:sz w:val="22"/>
          <w:szCs w:val="22"/>
          <w:lang w:eastAsia="en-GB"/>
        </w:rPr>
        <w:t xml:space="preserve">Observation </w:t>
      </w:r>
      <w:r w:rsidR="00B71924" w:rsidRPr="00B4533C">
        <w:rPr>
          <w:rFonts w:eastAsiaTheme="minorEastAsia"/>
          <w:b/>
          <w:bCs/>
          <w:sz w:val="22"/>
          <w:szCs w:val="22"/>
          <w:lang w:eastAsia="en-GB"/>
        </w:rPr>
        <w:t>1</w:t>
      </w:r>
      <w:r w:rsidRPr="00B4533C">
        <w:rPr>
          <w:rFonts w:eastAsiaTheme="minorEastAsia"/>
          <w:b/>
          <w:bCs/>
          <w:sz w:val="22"/>
          <w:szCs w:val="22"/>
          <w:lang w:eastAsia="en-GB"/>
        </w:rPr>
        <w:t>:</w:t>
      </w:r>
      <w:r w:rsidRPr="00B4533C">
        <w:rPr>
          <w:rFonts w:eastAsiaTheme="minorEastAsia"/>
          <w:b/>
          <w:bCs/>
          <w:sz w:val="22"/>
          <w:szCs w:val="22"/>
          <w:lang w:eastAsia="en-GB"/>
        </w:rPr>
        <w:tab/>
      </w:r>
      <w:r w:rsidRPr="00322A97">
        <w:rPr>
          <w:rFonts w:eastAsiaTheme="minorEastAsia"/>
          <w:sz w:val="22"/>
          <w:szCs w:val="22"/>
          <w:lang w:eastAsia="en-GB"/>
        </w:rPr>
        <w:t>Low band carrier aggregation via switching as an instantiation of NR standalone tests with all NR cells in FR1.</w:t>
      </w:r>
    </w:p>
    <w:p w14:paraId="11C54BF5" w14:textId="04A46393" w:rsidR="00630F36" w:rsidRPr="00B4533C" w:rsidRDefault="00630F36" w:rsidP="00630F36">
      <w:pPr>
        <w:ind w:left="1134" w:hanging="1134"/>
        <w:rPr>
          <w:rFonts w:eastAsiaTheme="minorEastAsia"/>
          <w:b/>
          <w:bCs/>
          <w:sz w:val="22"/>
          <w:szCs w:val="22"/>
          <w:lang w:eastAsia="en-GB"/>
        </w:rPr>
      </w:pPr>
      <w:r w:rsidRPr="00B4533C">
        <w:rPr>
          <w:rFonts w:eastAsiaTheme="minorEastAsia"/>
          <w:b/>
          <w:bCs/>
          <w:sz w:val="22"/>
          <w:szCs w:val="22"/>
          <w:lang w:eastAsia="en-GB"/>
        </w:rPr>
        <w:t xml:space="preserve">Proposal 2: </w:t>
      </w:r>
      <w:r w:rsidRPr="00322A97">
        <w:rPr>
          <w:rFonts w:eastAsiaTheme="minorEastAsia"/>
          <w:sz w:val="22"/>
          <w:szCs w:val="22"/>
          <w:lang w:eastAsia="en-GB"/>
        </w:rPr>
        <w:t>For timing test cases, existing NR standalone tests with all NR cells in FR1 are sufficient to cover also Low band carrier aggregation via switching.</w:t>
      </w:r>
    </w:p>
    <w:p w14:paraId="42C2E795" w14:textId="1C544FD8" w:rsidR="003D429A" w:rsidRDefault="003D429A" w:rsidP="003D429A">
      <w:pPr>
        <w:pStyle w:val="Heading1"/>
        <w:rPr>
          <w:lang w:val="en-US"/>
        </w:rPr>
      </w:pPr>
      <w:r>
        <w:rPr>
          <w:lang w:val="en-US"/>
        </w:rPr>
        <w:t>References</w:t>
      </w:r>
    </w:p>
    <w:p w14:paraId="32FC54DF" w14:textId="7D0C9896" w:rsidR="0083684A" w:rsidRPr="00414FE6" w:rsidRDefault="00BE4FE5" w:rsidP="00957DFF">
      <w:pPr>
        <w:rPr>
          <w:sz w:val="22"/>
          <w:szCs w:val="22"/>
        </w:rPr>
      </w:pPr>
      <w:bookmarkStart w:id="5" w:name="_Ref508638450"/>
      <w:bookmarkStart w:id="6" w:name="_Ref3386619"/>
      <w:r w:rsidRPr="00414FE6">
        <w:rPr>
          <w:sz w:val="22"/>
          <w:szCs w:val="22"/>
        </w:rPr>
        <w:t xml:space="preserve">[1] </w:t>
      </w:r>
      <w:r w:rsidRPr="00414FE6">
        <w:rPr>
          <w:sz w:val="22"/>
          <w:szCs w:val="22"/>
        </w:rPr>
        <w:tab/>
      </w:r>
      <w:r w:rsidRPr="00414FE6">
        <w:rPr>
          <w:sz w:val="22"/>
          <w:szCs w:val="22"/>
        </w:rPr>
        <w:tab/>
      </w:r>
      <w:r w:rsidR="00957DFF" w:rsidRPr="00414FE6">
        <w:rPr>
          <w:sz w:val="22"/>
          <w:szCs w:val="22"/>
        </w:rPr>
        <w:t>RP-25131</w:t>
      </w:r>
      <w:r w:rsidR="00F74C87" w:rsidRPr="00414FE6">
        <w:rPr>
          <w:sz w:val="22"/>
          <w:szCs w:val="22"/>
        </w:rPr>
        <w:t xml:space="preserve">5, </w:t>
      </w:r>
      <w:r w:rsidR="00957DFF" w:rsidRPr="00414FE6">
        <w:rPr>
          <w:sz w:val="22"/>
          <w:szCs w:val="22"/>
        </w:rPr>
        <w:t>Revised WID on Low NR band carrier aggregation via switching</w:t>
      </w:r>
      <w:r w:rsidR="00BE7E1A" w:rsidRPr="00414FE6">
        <w:rPr>
          <w:sz w:val="22"/>
          <w:szCs w:val="22"/>
        </w:rPr>
        <w:t>, TELUS</w:t>
      </w:r>
    </w:p>
    <w:bookmarkEnd w:id="5"/>
    <w:bookmarkEnd w:id="6"/>
    <w:p w14:paraId="406C1D4A" w14:textId="0596B96C" w:rsidR="003D429A" w:rsidRPr="00BE7E1A" w:rsidRDefault="003D429A" w:rsidP="003D429A"/>
    <w:sectPr w:rsidR="003D429A" w:rsidRPr="00BE7E1A">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1BF13" w14:textId="77777777" w:rsidR="00BF2A17" w:rsidRDefault="00BF2A17">
      <w:r>
        <w:separator/>
      </w:r>
    </w:p>
  </w:endnote>
  <w:endnote w:type="continuationSeparator" w:id="0">
    <w:p w14:paraId="3F32E992" w14:textId="77777777" w:rsidR="00BF2A17" w:rsidRDefault="00BF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B7532" w14:textId="77777777" w:rsidR="00BF2A17" w:rsidRDefault="00BF2A17">
      <w:r>
        <w:separator/>
      </w:r>
    </w:p>
  </w:footnote>
  <w:footnote w:type="continuationSeparator" w:id="0">
    <w:p w14:paraId="7E39CE11" w14:textId="77777777" w:rsidR="00BF2A17" w:rsidRDefault="00BF2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F0E6D"/>
    <w:multiLevelType w:val="hybridMultilevel"/>
    <w:tmpl w:val="21FAC25C"/>
    <w:lvl w:ilvl="0" w:tplc="F476E3CA">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37F20C2D"/>
    <w:multiLevelType w:val="hybridMultilevel"/>
    <w:tmpl w:val="B21C5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6091206"/>
    <w:multiLevelType w:val="hybridMultilevel"/>
    <w:tmpl w:val="7966D014"/>
    <w:lvl w:ilvl="0" w:tplc="4C70E88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6097C69"/>
    <w:multiLevelType w:val="hybridMultilevel"/>
    <w:tmpl w:val="507890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814979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614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714533">
    <w:abstractNumId w:val="1"/>
  </w:num>
  <w:num w:numId="4" w16cid:durableId="525676968">
    <w:abstractNumId w:val="6"/>
  </w:num>
  <w:num w:numId="5" w16cid:durableId="867523544">
    <w:abstractNumId w:val="5"/>
  </w:num>
  <w:num w:numId="6" w16cid:durableId="285166131">
    <w:abstractNumId w:val="3"/>
  </w:num>
  <w:num w:numId="7" w16cid:durableId="454299124">
    <w:abstractNumId w:val="7"/>
  </w:num>
  <w:num w:numId="8" w16cid:durableId="628366966">
    <w:abstractNumId w:val="4"/>
  </w:num>
  <w:num w:numId="9" w16cid:durableId="11235801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70"/>
    <w:rsid w:val="00033397"/>
    <w:rsid w:val="00040095"/>
    <w:rsid w:val="000455F6"/>
    <w:rsid w:val="00051834"/>
    <w:rsid w:val="00052D86"/>
    <w:rsid w:val="00054A22"/>
    <w:rsid w:val="00056A26"/>
    <w:rsid w:val="00062023"/>
    <w:rsid w:val="000655A6"/>
    <w:rsid w:val="00071F61"/>
    <w:rsid w:val="000778BA"/>
    <w:rsid w:val="00080512"/>
    <w:rsid w:val="00083854"/>
    <w:rsid w:val="000C47C3"/>
    <w:rsid w:val="000D58AB"/>
    <w:rsid w:val="00103A7F"/>
    <w:rsid w:val="00133525"/>
    <w:rsid w:val="00172447"/>
    <w:rsid w:val="00180B97"/>
    <w:rsid w:val="00192C4B"/>
    <w:rsid w:val="00195042"/>
    <w:rsid w:val="001A4C42"/>
    <w:rsid w:val="001A7420"/>
    <w:rsid w:val="001B5419"/>
    <w:rsid w:val="001B6637"/>
    <w:rsid w:val="001C21C3"/>
    <w:rsid w:val="001D02C2"/>
    <w:rsid w:val="001F0C1D"/>
    <w:rsid w:val="001F1132"/>
    <w:rsid w:val="001F168B"/>
    <w:rsid w:val="002008DC"/>
    <w:rsid w:val="00214BD0"/>
    <w:rsid w:val="002347A2"/>
    <w:rsid w:val="002643D1"/>
    <w:rsid w:val="002675F0"/>
    <w:rsid w:val="00271083"/>
    <w:rsid w:val="002840A1"/>
    <w:rsid w:val="002942EB"/>
    <w:rsid w:val="002A7154"/>
    <w:rsid w:val="002B6339"/>
    <w:rsid w:val="002C19E6"/>
    <w:rsid w:val="002C4075"/>
    <w:rsid w:val="002E00EE"/>
    <w:rsid w:val="00314F4A"/>
    <w:rsid w:val="003172DC"/>
    <w:rsid w:val="00322A97"/>
    <w:rsid w:val="0033338C"/>
    <w:rsid w:val="003370A1"/>
    <w:rsid w:val="0035462D"/>
    <w:rsid w:val="00356B24"/>
    <w:rsid w:val="0036765C"/>
    <w:rsid w:val="003765B8"/>
    <w:rsid w:val="00384CDA"/>
    <w:rsid w:val="003A71A1"/>
    <w:rsid w:val="003C3971"/>
    <w:rsid w:val="003D429A"/>
    <w:rsid w:val="003E6D37"/>
    <w:rsid w:val="00403E1E"/>
    <w:rsid w:val="00411B5B"/>
    <w:rsid w:val="00414FE6"/>
    <w:rsid w:val="00423334"/>
    <w:rsid w:val="00430D61"/>
    <w:rsid w:val="004337B5"/>
    <w:rsid w:val="004342AB"/>
    <w:rsid w:val="004345EC"/>
    <w:rsid w:val="00442BF1"/>
    <w:rsid w:val="0044364B"/>
    <w:rsid w:val="00444FA3"/>
    <w:rsid w:val="004511B1"/>
    <w:rsid w:val="00465515"/>
    <w:rsid w:val="004D3578"/>
    <w:rsid w:val="004E213A"/>
    <w:rsid w:val="004F0988"/>
    <w:rsid w:val="004F2B6E"/>
    <w:rsid w:val="004F3340"/>
    <w:rsid w:val="0051173F"/>
    <w:rsid w:val="00512E7F"/>
    <w:rsid w:val="005225C4"/>
    <w:rsid w:val="00525252"/>
    <w:rsid w:val="0053388B"/>
    <w:rsid w:val="00535773"/>
    <w:rsid w:val="00543E6C"/>
    <w:rsid w:val="00546D44"/>
    <w:rsid w:val="00557BD4"/>
    <w:rsid w:val="0056254B"/>
    <w:rsid w:val="00565087"/>
    <w:rsid w:val="00572D25"/>
    <w:rsid w:val="0057305F"/>
    <w:rsid w:val="00586E2E"/>
    <w:rsid w:val="00597B11"/>
    <w:rsid w:val="005D2E01"/>
    <w:rsid w:val="005D7526"/>
    <w:rsid w:val="005D7B03"/>
    <w:rsid w:val="005E4BB2"/>
    <w:rsid w:val="00602AEA"/>
    <w:rsid w:val="00614FDF"/>
    <w:rsid w:val="00630F36"/>
    <w:rsid w:val="0063543D"/>
    <w:rsid w:val="0063585B"/>
    <w:rsid w:val="006453B2"/>
    <w:rsid w:val="00647114"/>
    <w:rsid w:val="00665260"/>
    <w:rsid w:val="00681CB2"/>
    <w:rsid w:val="006A323F"/>
    <w:rsid w:val="006A6F17"/>
    <w:rsid w:val="006B2174"/>
    <w:rsid w:val="006B30D0"/>
    <w:rsid w:val="006C1584"/>
    <w:rsid w:val="006C34D3"/>
    <w:rsid w:val="006C3D95"/>
    <w:rsid w:val="006E5C86"/>
    <w:rsid w:val="006F61D7"/>
    <w:rsid w:val="00701116"/>
    <w:rsid w:val="00713C44"/>
    <w:rsid w:val="007279DD"/>
    <w:rsid w:val="00734A5B"/>
    <w:rsid w:val="0074026F"/>
    <w:rsid w:val="007429F6"/>
    <w:rsid w:val="00743C79"/>
    <w:rsid w:val="00744E76"/>
    <w:rsid w:val="0074548F"/>
    <w:rsid w:val="00774DA4"/>
    <w:rsid w:val="00780EC9"/>
    <w:rsid w:val="00781F0F"/>
    <w:rsid w:val="007928ED"/>
    <w:rsid w:val="007A4C9B"/>
    <w:rsid w:val="007B600E"/>
    <w:rsid w:val="007F0F4A"/>
    <w:rsid w:val="007F4471"/>
    <w:rsid w:val="007F602A"/>
    <w:rsid w:val="008028A4"/>
    <w:rsid w:val="008064A7"/>
    <w:rsid w:val="00812CCE"/>
    <w:rsid w:val="00830747"/>
    <w:rsid w:val="0083684A"/>
    <w:rsid w:val="00856E7F"/>
    <w:rsid w:val="00865A22"/>
    <w:rsid w:val="008768CA"/>
    <w:rsid w:val="00885367"/>
    <w:rsid w:val="008A6463"/>
    <w:rsid w:val="008B02D1"/>
    <w:rsid w:val="008C384C"/>
    <w:rsid w:val="0090271F"/>
    <w:rsid w:val="00902E23"/>
    <w:rsid w:val="009114D7"/>
    <w:rsid w:val="0091348E"/>
    <w:rsid w:val="00917CCB"/>
    <w:rsid w:val="00923FEA"/>
    <w:rsid w:val="00930518"/>
    <w:rsid w:val="00942EC2"/>
    <w:rsid w:val="0094395F"/>
    <w:rsid w:val="00951A7A"/>
    <w:rsid w:val="00957DFF"/>
    <w:rsid w:val="00973023"/>
    <w:rsid w:val="00985F99"/>
    <w:rsid w:val="009C3E5A"/>
    <w:rsid w:val="009D05C7"/>
    <w:rsid w:val="009D5375"/>
    <w:rsid w:val="009E615A"/>
    <w:rsid w:val="009F37B7"/>
    <w:rsid w:val="00A07118"/>
    <w:rsid w:val="00A10F02"/>
    <w:rsid w:val="00A164B4"/>
    <w:rsid w:val="00A21CE7"/>
    <w:rsid w:val="00A26956"/>
    <w:rsid w:val="00A27486"/>
    <w:rsid w:val="00A434FD"/>
    <w:rsid w:val="00A53724"/>
    <w:rsid w:val="00A56066"/>
    <w:rsid w:val="00A6293E"/>
    <w:rsid w:val="00A73129"/>
    <w:rsid w:val="00A764A2"/>
    <w:rsid w:val="00A82346"/>
    <w:rsid w:val="00A84C00"/>
    <w:rsid w:val="00A92BA1"/>
    <w:rsid w:val="00AA02C2"/>
    <w:rsid w:val="00AC5C0E"/>
    <w:rsid w:val="00AC6BC6"/>
    <w:rsid w:val="00AD5D40"/>
    <w:rsid w:val="00AE5D66"/>
    <w:rsid w:val="00AE65E2"/>
    <w:rsid w:val="00B15449"/>
    <w:rsid w:val="00B4533C"/>
    <w:rsid w:val="00B54236"/>
    <w:rsid w:val="00B5442B"/>
    <w:rsid w:val="00B653EF"/>
    <w:rsid w:val="00B66DD7"/>
    <w:rsid w:val="00B71924"/>
    <w:rsid w:val="00B93086"/>
    <w:rsid w:val="00B93FB3"/>
    <w:rsid w:val="00B97A6B"/>
    <w:rsid w:val="00BA19ED"/>
    <w:rsid w:val="00BA29A7"/>
    <w:rsid w:val="00BA4B8D"/>
    <w:rsid w:val="00BC0F7D"/>
    <w:rsid w:val="00BC2DDC"/>
    <w:rsid w:val="00BD05C2"/>
    <w:rsid w:val="00BD7D31"/>
    <w:rsid w:val="00BE3255"/>
    <w:rsid w:val="00BE4FE5"/>
    <w:rsid w:val="00BE7E1A"/>
    <w:rsid w:val="00BF128E"/>
    <w:rsid w:val="00BF2A17"/>
    <w:rsid w:val="00C074DD"/>
    <w:rsid w:val="00C1496A"/>
    <w:rsid w:val="00C33079"/>
    <w:rsid w:val="00C41F2A"/>
    <w:rsid w:val="00C45231"/>
    <w:rsid w:val="00C72833"/>
    <w:rsid w:val="00C80F1D"/>
    <w:rsid w:val="00C80F31"/>
    <w:rsid w:val="00C93F40"/>
    <w:rsid w:val="00CA0310"/>
    <w:rsid w:val="00CA3D0C"/>
    <w:rsid w:val="00CB0749"/>
    <w:rsid w:val="00D12A57"/>
    <w:rsid w:val="00D31E1E"/>
    <w:rsid w:val="00D32386"/>
    <w:rsid w:val="00D47DDC"/>
    <w:rsid w:val="00D544DE"/>
    <w:rsid w:val="00D560A3"/>
    <w:rsid w:val="00D57972"/>
    <w:rsid w:val="00D6299F"/>
    <w:rsid w:val="00D675A9"/>
    <w:rsid w:val="00D738D6"/>
    <w:rsid w:val="00D755EB"/>
    <w:rsid w:val="00D76048"/>
    <w:rsid w:val="00D87E00"/>
    <w:rsid w:val="00D9134D"/>
    <w:rsid w:val="00DA0F6B"/>
    <w:rsid w:val="00DA7A03"/>
    <w:rsid w:val="00DB1818"/>
    <w:rsid w:val="00DC309B"/>
    <w:rsid w:val="00DC4DA2"/>
    <w:rsid w:val="00DD4C17"/>
    <w:rsid w:val="00DD74A5"/>
    <w:rsid w:val="00DF2B1F"/>
    <w:rsid w:val="00DF62CD"/>
    <w:rsid w:val="00DF7E0E"/>
    <w:rsid w:val="00E16509"/>
    <w:rsid w:val="00E27F99"/>
    <w:rsid w:val="00E44582"/>
    <w:rsid w:val="00E55AEA"/>
    <w:rsid w:val="00E62B23"/>
    <w:rsid w:val="00E7470F"/>
    <w:rsid w:val="00E77645"/>
    <w:rsid w:val="00E81A5C"/>
    <w:rsid w:val="00E85613"/>
    <w:rsid w:val="00EA15B0"/>
    <w:rsid w:val="00EA2183"/>
    <w:rsid w:val="00EA41E4"/>
    <w:rsid w:val="00EA5EA7"/>
    <w:rsid w:val="00EC3D06"/>
    <w:rsid w:val="00EC4A25"/>
    <w:rsid w:val="00ED01DB"/>
    <w:rsid w:val="00ED7C04"/>
    <w:rsid w:val="00EE449C"/>
    <w:rsid w:val="00EF1A8D"/>
    <w:rsid w:val="00F025A2"/>
    <w:rsid w:val="00F04712"/>
    <w:rsid w:val="00F1142E"/>
    <w:rsid w:val="00F13360"/>
    <w:rsid w:val="00F22EC7"/>
    <w:rsid w:val="00F325C8"/>
    <w:rsid w:val="00F653B8"/>
    <w:rsid w:val="00F66CB7"/>
    <w:rsid w:val="00F737E2"/>
    <w:rsid w:val="00F74C87"/>
    <w:rsid w:val="00F76708"/>
    <w:rsid w:val="00F9008D"/>
    <w:rsid w:val="00F97929"/>
    <w:rsid w:val="00FA1266"/>
    <w:rsid w:val="00FA20D9"/>
    <w:rsid w:val="00FB7427"/>
    <w:rsid w:val="00FC1192"/>
    <w:rsid w:val="00FC5F8D"/>
    <w:rsid w:val="00FE3B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41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CRCoverPage">
    <w:name w:val="CR Cover Page"/>
    <w:link w:val="CRCoverPageChar"/>
    <w:qFormat/>
    <w:rsid w:val="00B66DD7"/>
    <w:pPr>
      <w:spacing w:after="120"/>
    </w:pPr>
    <w:rPr>
      <w:rFonts w:ascii="Arial" w:hAnsi="Arial"/>
      <w:lang w:eastAsia="en-US"/>
    </w:rPr>
  </w:style>
  <w:style w:type="character" w:customStyle="1" w:styleId="CRCoverPageChar">
    <w:name w:val="CR Cover Page Char"/>
    <w:link w:val="CRCoverPage"/>
    <w:qFormat/>
    <w:rsid w:val="00B66DD7"/>
    <w:rPr>
      <w:rFonts w:ascii="Arial" w:hAnsi="Arial"/>
      <w:lang w:eastAsia="en-US"/>
    </w:rPr>
  </w:style>
  <w:style w:type="paragraph" w:styleId="ListParagraph">
    <w:name w:val="List Paragraph"/>
    <w:basedOn w:val="Normal"/>
    <w:uiPriority w:val="34"/>
    <w:qFormat/>
    <w:rsid w:val="00BC2DDC"/>
    <w:pPr>
      <w:ind w:left="720"/>
      <w:contextualSpacing/>
    </w:pPr>
  </w:style>
  <w:style w:type="paragraph" w:styleId="Revision">
    <w:name w:val="Revision"/>
    <w:hidden/>
    <w:uiPriority w:val="99"/>
    <w:semiHidden/>
    <w:rsid w:val="00BD05C2"/>
    <w:rPr>
      <w:lang w:eastAsia="en-US"/>
    </w:rPr>
  </w:style>
  <w:style w:type="paragraph" w:styleId="BodyText">
    <w:name w:val="Body Text"/>
    <w:basedOn w:val="Normal"/>
    <w:link w:val="BodyTextChar"/>
    <w:qFormat/>
    <w:rsid w:val="00E27F99"/>
    <w:pPr>
      <w:spacing w:after="0"/>
    </w:pPr>
    <w:rPr>
      <w:sz w:val="24"/>
      <w:szCs w:val="24"/>
      <w:lang w:val="en-US" w:eastAsia="zh-CN"/>
    </w:rPr>
  </w:style>
  <w:style w:type="character" w:customStyle="1" w:styleId="BodyTextChar">
    <w:name w:val="Body Text Char"/>
    <w:basedOn w:val="DefaultParagraphFont"/>
    <w:link w:val="BodyText"/>
    <w:qFormat/>
    <w:rsid w:val="00E27F99"/>
    <w:rPr>
      <w:sz w:val="24"/>
      <w:szCs w:val="24"/>
      <w:lang w:val="en-US" w:eastAsia="zh-CN"/>
    </w:rPr>
  </w:style>
  <w:style w:type="character" w:customStyle="1" w:styleId="B1Char">
    <w:name w:val="B1 Char"/>
    <w:link w:val="B1"/>
    <w:rsid w:val="00A6293E"/>
    <w:rPr>
      <w:lang w:eastAsia="en-US"/>
    </w:rPr>
  </w:style>
  <w:style w:type="character" w:styleId="CommentReference">
    <w:name w:val="annotation reference"/>
    <w:basedOn w:val="DefaultParagraphFont"/>
    <w:rsid w:val="00AA02C2"/>
    <w:rPr>
      <w:sz w:val="16"/>
      <w:szCs w:val="16"/>
    </w:rPr>
  </w:style>
  <w:style w:type="paragraph" w:styleId="CommentText">
    <w:name w:val="annotation text"/>
    <w:basedOn w:val="Normal"/>
    <w:link w:val="CommentTextChar"/>
    <w:rsid w:val="00AA02C2"/>
  </w:style>
  <w:style w:type="character" w:customStyle="1" w:styleId="CommentTextChar">
    <w:name w:val="Comment Text Char"/>
    <w:basedOn w:val="DefaultParagraphFont"/>
    <w:link w:val="CommentText"/>
    <w:rsid w:val="00AA02C2"/>
    <w:rPr>
      <w:lang w:eastAsia="en-US"/>
    </w:rPr>
  </w:style>
  <w:style w:type="paragraph" w:styleId="CommentSubject">
    <w:name w:val="annotation subject"/>
    <w:basedOn w:val="CommentText"/>
    <w:next w:val="CommentText"/>
    <w:link w:val="CommentSubjectChar"/>
    <w:rsid w:val="00AA02C2"/>
    <w:rPr>
      <w:b/>
      <w:bCs/>
    </w:rPr>
  </w:style>
  <w:style w:type="character" w:customStyle="1" w:styleId="CommentSubjectChar">
    <w:name w:val="Comment Subject Char"/>
    <w:basedOn w:val="CommentTextChar"/>
    <w:link w:val="CommentSubject"/>
    <w:rsid w:val="00AA02C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02D5B-2EBD-42C5-B0E5-F4704B522FB9}">
  <ds:schemaRefs>
    <ds:schemaRef ds:uri="http://schemas.microsoft.com/sharepoint/v3/contenttype/forms"/>
  </ds:schemaRefs>
</ds:datastoreItem>
</file>

<file path=customXml/itemProps2.xml><?xml version="1.0" encoding="utf-8"?>
<ds:datastoreItem xmlns:ds="http://schemas.openxmlformats.org/officeDocument/2006/customXml" ds:itemID="{C4C7B061-CD6B-4426-93B7-0B7BACDBC87B}">
  <ds:schemaRefs>
    <ds:schemaRef ds:uri="http://schemas.microsoft.com/office/2006/documentManagement/types"/>
    <ds:schemaRef ds:uri="http://www.w3.org/XML/1998/namespace"/>
    <ds:schemaRef ds:uri="2f282d3b-eb4a-4b09-b61f-b9593442e286"/>
    <ds:schemaRef ds:uri="http://schemas.microsoft.com/office/2006/metadata/properties"/>
    <ds:schemaRef ds:uri="http://purl.org/dc/elements/1.1/"/>
    <ds:schemaRef ds:uri="http://schemas.microsoft.com/sharepoint/v3"/>
    <ds:schemaRef ds:uri="9b239327-9e80-40e4-b1b7-4394fed77a33"/>
    <ds:schemaRef ds:uri="http://purl.org/dc/terms/"/>
    <ds:schemaRef ds:uri="http://schemas.microsoft.com/office/infopath/2007/PartnerControls"/>
    <ds:schemaRef ds:uri="http://schemas.openxmlformats.org/package/2006/metadata/core-properties"/>
    <ds:schemaRef ds:uri="d8762117-8292-4133-b1c7-eab5c6487cfd"/>
    <ds:schemaRef ds:uri="http://purl.org/dc/dcmitype/"/>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4E8C18E3-F49E-491E-A9D7-478EC8AA6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4</Pages>
  <Words>910</Words>
  <Characters>5017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Venkat</cp:lastModifiedBy>
  <cp:revision>116</cp:revision>
  <cp:lastPrinted>2019-02-25T14:05:00Z</cp:lastPrinted>
  <dcterms:created xsi:type="dcterms:W3CDTF">2022-10-26T11:50:00Z</dcterms:created>
  <dcterms:modified xsi:type="dcterms:W3CDTF">2025-08-15T18:49:00Z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